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hAnsi="黑体" w:eastAsia="黑体" w:cs="宋体"/>
          <w:color w:val="auto"/>
          <w:kern w:val="0"/>
          <w:sz w:val="36"/>
          <w:szCs w:val="36"/>
        </w:rPr>
      </w:pPr>
    </w:p>
    <w:p>
      <w:pPr>
        <w:spacing w:line="560" w:lineRule="exact"/>
        <w:jc w:val="center"/>
        <w:rPr>
          <w:rFonts w:ascii="黑体" w:hAnsi="黑体" w:eastAsia="黑体" w:cs="宋体"/>
          <w:color w:val="auto"/>
          <w:kern w:val="0"/>
          <w:sz w:val="36"/>
          <w:szCs w:val="36"/>
        </w:rPr>
      </w:pPr>
      <w:r>
        <w:rPr>
          <w:rFonts w:hint="eastAsia" w:ascii="黑体" w:hAnsi="黑体" w:eastAsia="黑体" w:cs="宋体"/>
          <w:color w:val="auto"/>
          <w:kern w:val="0"/>
          <w:sz w:val="36"/>
          <w:szCs w:val="36"/>
        </w:rPr>
        <w:t>自贡市中医医院</w:t>
      </w:r>
    </w:p>
    <w:p>
      <w:pPr>
        <w:spacing w:line="560" w:lineRule="exact"/>
        <w:jc w:val="center"/>
        <w:rPr>
          <w:rFonts w:ascii="黑体" w:hAnsi="黑体" w:eastAsia="黑体" w:cs="宋体"/>
          <w:color w:val="auto"/>
          <w:kern w:val="0"/>
          <w:sz w:val="36"/>
          <w:szCs w:val="36"/>
        </w:rPr>
      </w:pPr>
      <w:r>
        <w:rPr>
          <w:rFonts w:hint="eastAsia" w:ascii="黑体" w:hAnsi="黑体" w:eastAsia="黑体" w:cs="宋体"/>
          <w:color w:val="auto"/>
          <w:kern w:val="0"/>
          <w:sz w:val="36"/>
          <w:szCs w:val="36"/>
        </w:rPr>
        <w:t>制剂中心运行合作项目公开遴选办法</w:t>
      </w:r>
    </w:p>
    <w:p>
      <w:pPr>
        <w:spacing w:line="560" w:lineRule="exact"/>
        <w:ind w:firstLine="640" w:firstLineChars="200"/>
        <w:jc w:val="center"/>
        <w:rPr>
          <w:rFonts w:ascii="黑体" w:hAnsi="黑体" w:eastAsia="黑体" w:cs="宋体"/>
          <w:color w:val="auto"/>
          <w:kern w:val="0"/>
          <w:sz w:val="32"/>
          <w:szCs w:val="32"/>
        </w:rPr>
      </w:pPr>
    </w:p>
    <w:p>
      <w:pPr>
        <w:snapToGrid w:val="0"/>
        <w:spacing w:line="336" w:lineRule="auto"/>
        <w:ind w:firstLine="640" w:firstLineChars="200"/>
        <w:rPr>
          <w:rFonts w:eastAsia="仿宋_GB2312"/>
          <w:color w:val="auto"/>
          <w:sz w:val="32"/>
          <w:szCs w:val="32"/>
        </w:rPr>
      </w:pPr>
      <w:r>
        <w:rPr>
          <w:rFonts w:hint="eastAsia" w:ascii="仿宋_GB2312" w:hAnsi="仿宋_GB2312" w:eastAsia="仿宋_GB2312" w:cs="仿宋_GB2312"/>
          <w:color w:val="auto"/>
          <w:sz w:val="32"/>
          <w:szCs w:val="32"/>
        </w:rPr>
        <w:t>为进一步提升我院中医特色服务能力，</w:t>
      </w:r>
      <w:r>
        <w:rPr>
          <w:rFonts w:hint="eastAsia" w:ascii="仿宋_GB2312" w:hAnsi="宋体" w:eastAsia="仿宋_GB2312" w:cs="宋体"/>
          <w:color w:val="auto"/>
          <w:kern w:val="0"/>
          <w:sz w:val="32"/>
          <w:szCs w:val="32"/>
        </w:rPr>
        <w:t>公开、公平、公正的</w:t>
      </w:r>
      <w:r>
        <w:rPr>
          <w:rFonts w:hint="eastAsia" w:ascii="仿宋_GB2312" w:hAnsi="仿宋_GB2312" w:eastAsia="仿宋_GB2312" w:cs="仿宋_GB2312"/>
          <w:color w:val="auto"/>
          <w:sz w:val="32"/>
          <w:szCs w:val="32"/>
        </w:rPr>
        <w:t>遴选合作单位，共建制剂中心，</w:t>
      </w:r>
      <w:r>
        <w:rPr>
          <w:rFonts w:hint="eastAsia" w:ascii="仿宋_GB2312" w:hAnsi="宋体" w:eastAsia="仿宋_GB2312" w:cs="宋体"/>
          <w:color w:val="auto"/>
          <w:kern w:val="0"/>
          <w:sz w:val="32"/>
          <w:szCs w:val="32"/>
        </w:rPr>
        <w:t>现将遴选办法公告如下</w:t>
      </w:r>
      <w:r>
        <w:rPr>
          <w:rFonts w:hint="eastAsia" w:eastAsia="仿宋_GB2312"/>
          <w:color w:val="auto"/>
          <w:sz w:val="32"/>
          <w:szCs w:val="32"/>
        </w:rPr>
        <w:t>：</w:t>
      </w:r>
    </w:p>
    <w:p>
      <w:pPr>
        <w:snapToGrid w:val="0"/>
        <w:spacing w:line="336" w:lineRule="auto"/>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一、基本情况</w:t>
      </w:r>
    </w:p>
    <w:p>
      <w:pPr>
        <w:snapToGrid w:val="0"/>
        <w:spacing w:line="336" w:lineRule="auto"/>
        <w:ind w:firstLine="640" w:firstLineChars="200"/>
        <w:rPr>
          <w:rFonts w:ascii="仿宋_GB2312" w:hAnsi="宋体" w:eastAsia="仿宋_GB2312" w:cs="宋体"/>
          <w:color w:val="auto"/>
          <w:kern w:val="0"/>
          <w:sz w:val="32"/>
          <w:szCs w:val="32"/>
        </w:rPr>
      </w:pPr>
      <w:r>
        <w:rPr>
          <w:rFonts w:hint="eastAsia" w:ascii="仿宋_GB2312" w:hAnsi="仿宋_GB2312" w:eastAsia="仿宋_GB2312" w:cs="仿宋_GB2312"/>
          <w:color w:val="auto"/>
          <w:sz w:val="32"/>
          <w:szCs w:val="32"/>
        </w:rPr>
        <w:t>1.合作项目名称：</w:t>
      </w:r>
      <w:r>
        <w:rPr>
          <w:rFonts w:hint="eastAsia" w:ascii="仿宋_GB2312" w:hAnsi="宋体" w:eastAsia="仿宋_GB2312" w:cs="宋体"/>
          <w:color w:val="auto"/>
          <w:kern w:val="0"/>
          <w:sz w:val="32"/>
          <w:szCs w:val="32"/>
        </w:rPr>
        <w:t>自贡市中医医院制剂中心运行合作项目</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2.项目基本情况：制剂中心位于自贡市中医医院卧龙湖院区中医特色中心大楼1-4楼，建筑面积约5200平方米，生产区域、质检区域设施设备齐全。目前设备采购、基础建设已经完成，即将开展二装。</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3.合作方式：医院负责提供制剂中心场地、首批设备，负责派专业药师负责工艺流程、监督制剂质量和业务指导。合作方负责制剂中心的生产、管理、日常维护、成品配送等服务。</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4.运行需求：医院</w:t>
      </w:r>
      <w:r>
        <w:rPr>
          <w:rFonts w:hint="eastAsia" w:ascii="仿宋_GB2312" w:hAnsi="仿宋_GB2312" w:eastAsia="仿宋_GB2312" w:cs="仿宋_GB2312"/>
          <w:color w:val="auto"/>
          <w:sz w:val="32"/>
          <w:szCs w:val="40"/>
        </w:rPr>
        <w:t>现有获得批文的制剂品种29个，在研品种5个，涉及洗剂、糖浆剂、合剂、颗粒剂、散剂、酊剂、搽剂、软膏剂、栓剂、滴鼻剂、滴耳剂、灌肠剂等12个剂型。合作第一年预计产值600万元，计划以每年20%的量递增。满足医院制剂需求的同时，合作方可承接其他医疗机构的委托配制、制剂研发、调剂等业务。</w:t>
      </w:r>
    </w:p>
    <w:p>
      <w:pPr>
        <w:widowControl/>
        <w:snapToGrid w:val="0"/>
        <w:spacing w:line="336" w:lineRule="auto"/>
        <w:ind w:right="25" w:rightChars="12" w:firstLine="640" w:firstLineChars="200"/>
        <w:rPr>
          <w:rFonts w:hAnsi="黑体" w:eastAsia="黑体"/>
          <w:color w:val="auto"/>
          <w:sz w:val="32"/>
          <w:szCs w:val="32"/>
        </w:rPr>
      </w:pPr>
      <w:r>
        <w:rPr>
          <w:rFonts w:hint="eastAsia" w:hAnsi="黑体" w:eastAsia="黑体"/>
          <w:color w:val="auto"/>
          <w:sz w:val="32"/>
          <w:szCs w:val="32"/>
        </w:rPr>
        <w:t>二、报名</w:t>
      </w:r>
      <w:r>
        <w:rPr>
          <w:rFonts w:hAnsi="黑体" w:eastAsia="黑体"/>
          <w:color w:val="auto"/>
          <w:sz w:val="32"/>
          <w:szCs w:val="32"/>
        </w:rPr>
        <w:t>条件</w:t>
      </w:r>
    </w:p>
    <w:p>
      <w:pPr>
        <w:snapToGrid w:val="0"/>
        <w:spacing w:line="336" w:lineRule="auto"/>
        <w:ind w:firstLine="640" w:firstLineChars="200"/>
        <w:rPr>
          <w:rFonts w:eastAsia="仿宋_GB2312"/>
          <w:color w:val="auto"/>
          <w:sz w:val="32"/>
          <w:szCs w:val="32"/>
        </w:rPr>
      </w:pPr>
      <w:r>
        <w:rPr>
          <w:rFonts w:hint="eastAsia" w:ascii="仿宋_GB2312" w:hAnsi="宋体" w:eastAsia="仿宋_GB2312" w:cs="宋体"/>
          <w:color w:val="auto"/>
          <w:kern w:val="0"/>
          <w:sz w:val="32"/>
          <w:szCs w:val="32"/>
        </w:rPr>
        <w:t>参与遴选单位</w:t>
      </w:r>
      <w:r>
        <w:rPr>
          <w:rFonts w:eastAsia="仿宋_GB2312"/>
          <w:color w:val="auto"/>
          <w:sz w:val="32"/>
          <w:szCs w:val="32"/>
        </w:rPr>
        <w:t>须</w:t>
      </w:r>
      <w:r>
        <w:rPr>
          <w:rFonts w:hint="eastAsia" w:eastAsia="仿宋_GB2312"/>
          <w:color w:val="auto"/>
          <w:sz w:val="32"/>
          <w:szCs w:val="32"/>
        </w:rPr>
        <w:t>满足以下基本条件</w:t>
      </w:r>
      <w:r>
        <w:rPr>
          <w:rFonts w:eastAsia="仿宋_GB2312"/>
          <w:color w:val="auto"/>
          <w:sz w:val="32"/>
          <w:szCs w:val="32"/>
        </w:rPr>
        <w:t>：</w:t>
      </w:r>
    </w:p>
    <w:p>
      <w:pPr>
        <w:snapToGrid w:val="0"/>
        <w:spacing w:line="336" w:lineRule="auto"/>
        <w:ind w:firstLine="640" w:firstLineChars="200"/>
        <w:rPr>
          <w:rFonts w:eastAsia="仿宋_GB2312"/>
          <w:color w:val="auto"/>
          <w:sz w:val="32"/>
          <w:szCs w:val="32"/>
        </w:rPr>
      </w:pPr>
      <w:r>
        <w:rPr>
          <w:rFonts w:hint="eastAsia" w:eastAsia="仿宋_GB2312"/>
          <w:color w:val="auto"/>
          <w:sz w:val="32"/>
          <w:szCs w:val="32"/>
        </w:rPr>
        <w:t>（一）报名</w:t>
      </w:r>
      <w:r>
        <w:rPr>
          <w:rFonts w:eastAsia="仿宋_GB2312"/>
          <w:color w:val="auto"/>
          <w:sz w:val="32"/>
          <w:szCs w:val="32"/>
        </w:rPr>
        <w:t>对象为独立法人机构</w:t>
      </w:r>
      <w:r>
        <w:rPr>
          <w:rFonts w:hint="eastAsia" w:eastAsia="仿宋_GB2312"/>
          <w:color w:val="auto"/>
          <w:sz w:val="32"/>
          <w:szCs w:val="32"/>
        </w:rPr>
        <w:t>，</w:t>
      </w:r>
      <w:r>
        <w:rPr>
          <w:rFonts w:hint="eastAsia" w:ascii="仿宋_GB2312" w:hAnsi="仿宋_GB2312" w:eastAsia="仿宋_GB2312" w:cs="仿宋_GB2312"/>
          <w:color w:val="auto"/>
          <w:sz w:val="32"/>
          <w:szCs w:val="32"/>
        </w:rPr>
        <w:t>具有独立承担民事责任能力；</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（二）具有良好的商业信誉和健全的财务会计制度；</w:t>
      </w:r>
    </w:p>
    <w:p>
      <w:pPr>
        <w:snapToGrid w:val="0"/>
        <w:spacing w:line="336" w:lineRule="auto"/>
        <w:ind w:firstLine="640" w:firstLineChars="200"/>
        <w:rPr>
          <w:rFonts w:eastAsia="仿宋_GB2312"/>
          <w:color w:val="auto"/>
          <w:sz w:val="32"/>
          <w:szCs w:val="32"/>
        </w:rPr>
      </w:pPr>
      <w:r>
        <w:rPr>
          <w:rFonts w:hint="eastAsia" w:eastAsia="仿宋_GB2312"/>
          <w:color w:val="auto"/>
          <w:sz w:val="32"/>
          <w:szCs w:val="32"/>
        </w:rPr>
        <w:t>（三）具备中药饮片经营资质；</w:t>
      </w:r>
    </w:p>
    <w:p>
      <w:pPr>
        <w:adjustRightInd w:val="0"/>
        <w:snapToGrid w:val="0"/>
        <w:spacing w:line="336" w:lineRule="auto"/>
        <w:ind w:firstLine="640" w:firstLineChars="200"/>
        <w:rPr>
          <w:rFonts w:eastAsia="仿宋_GB2312"/>
          <w:color w:val="auto"/>
          <w:sz w:val="32"/>
          <w:szCs w:val="32"/>
        </w:rPr>
      </w:pPr>
      <w:r>
        <w:rPr>
          <w:rFonts w:hint="eastAsia" w:eastAsia="仿宋_GB2312"/>
          <w:color w:val="auto"/>
          <w:sz w:val="32"/>
          <w:szCs w:val="32"/>
        </w:rPr>
        <w:t>（四）满足制剂中心运行的专业技术能力、业务拓展和成品配送能力，负责人应有制剂生产、管理经验。</w:t>
      </w:r>
    </w:p>
    <w:p>
      <w:pPr>
        <w:widowControl/>
        <w:snapToGrid w:val="0"/>
        <w:spacing w:line="336" w:lineRule="auto"/>
        <w:ind w:right="25" w:rightChars="12" w:firstLine="640" w:firstLineChars="200"/>
        <w:rPr>
          <w:rFonts w:eastAsia="黑体"/>
          <w:color w:val="auto"/>
          <w:sz w:val="32"/>
          <w:szCs w:val="32"/>
        </w:rPr>
      </w:pPr>
      <w:r>
        <w:rPr>
          <w:rFonts w:hAnsi="黑体" w:eastAsia="黑体"/>
          <w:color w:val="auto"/>
          <w:sz w:val="32"/>
          <w:szCs w:val="32"/>
        </w:rPr>
        <w:t>三、</w:t>
      </w:r>
      <w:r>
        <w:rPr>
          <w:rFonts w:hint="eastAsia" w:hAnsi="黑体" w:eastAsia="黑体"/>
          <w:color w:val="auto"/>
          <w:sz w:val="32"/>
          <w:szCs w:val="32"/>
        </w:rPr>
        <w:t>遴</w:t>
      </w:r>
      <w:r>
        <w:rPr>
          <w:rFonts w:hAnsi="黑体" w:eastAsia="黑体"/>
          <w:color w:val="auto"/>
          <w:sz w:val="32"/>
          <w:szCs w:val="32"/>
        </w:rPr>
        <w:t>选程序</w:t>
      </w:r>
    </w:p>
    <w:p>
      <w:pPr>
        <w:tabs>
          <w:tab w:val="center" w:pos="4153"/>
        </w:tabs>
        <w:adjustRightInd w:val="0"/>
        <w:snapToGrid w:val="0"/>
        <w:spacing w:line="336" w:lineRule="auto"/>
        <w:ind w:firstLine="640" w:firstLineChars="200"/>
        <w:jc w:val="left"/>
        <w:rPr>
          <w:rFonts w:ascii="楷体_GB2312" w:eastAsia="楷体_GB2312"/>
          <w:color w:val="auto"/>
          <w:sz w:val="32"/>
          <w:szCs w:val="32"/>
        </w:rPr>
      </w:pPr>
      <w:r>
        <w:rPr>
          <w:rFonts w:ascii="楷体_GB2312" w:eastAsia="楷体_GB2312"/>
          <w:color w:val="auto"/>
          <w:sz w:val="32"/>
          <w:szCs w:val="32"/>
        </w:rPr>
        <w:t>（一）</w:t>
      </w:r>
      <w:r>
        <w:rPr>
          <w:rFonts w:hint="eastAsia" w:ascii="楷体_GB2312" w:eastAsia="楷体_GB2312"/>
          <w:color w:val="auto"/>
          <w:sz w:val="32"/>
          <w:szCs w:val="32"/>
        </w:rPr>
        <w:t>报名及资格审定</w:t>
      </w:r>
    </w:p>
    <w:p>
      <w:pPr>
        <w:tabs>
          <w:tab w:val="center" w:pos="4153"/>
        </w:tabs>
        <w:adjustRightInd w:val="0"/>
        <w:snapToGrid w:val="0"/>
        <w:spacing w:line="336" w:lineRule="auto"/>
        <w:ind w:firstLine="640" w:firstLineChars="200"/>
        <w:jc w:val="left"/>
        <w:rPr>
          <w:rFonts w:eastAsia="仿宋_GB2312"/>
          <w:color w:val="auto"/>
          <w:sz w:val="32"/>
          <w:szCs w:val="32"/>
        </w:rPr>
      </w:pPr>
      <w:r>
        <w:rPr>
          <w:rFonts w:hint="eastAsia" w:eastAsia="仿宋_GB2312"/>
          <w:color w:val="auto"/>
          <w:sz w:val="32"/>
          <w:szCs w:val="32"/>
        </w:rPr>
        <w:t>1.报名</w:t>
      </w:r>
      <w:r>
        <w:rPr>
          <w:rFonts w:eastAsia="仿宋_GB2312"/>
          <w:color w:val="auto"/>
          <w:sz w:val="32"/>
          <w:szCs w:val="32"/>
        </w:rPr>
        <w:t>时间：2023年</w:t>
      </w:r>
      <w:r>
        <w:rPr>
          <w:rFonts w:hint="eastAsia" w:eastAsia="仿宋_GB2312"/>
          <w:color w:val="auto"/>
          <w:sz w:val="32"/>
          <w:szCs w:val="32"/>
          <w:lang w:val="en-US" w:eastAsia="zh-CN"/>
        </w:rPr>
        <w:t>8</w:t>
      </w:r>
      <w:r>
        <w:rPr>
          <w:rFonts w:eastAsia="仿宋_GB2312"/>
          <w:color w:val="auto"/>
          <w:sz w:val="32"/>
          <w:szCs w:val="32"/>
        </w:rPr>
        <w:t>月</w:t>
      </w:r>
      <w:r>
        <w:rPr>
          <w:rFonts w:hint="eastAsia" w:eastAsia="仿宋_GB2312"/>
          <w:color w:val="auto"/>
          <w:sz w:val="32"/>
          <w:szCs w:val="32"/>
        </w:rPr>
        <w:t>3日至</w:t>
      </w:r>
      <w:r>
        <w:rPr>
          <w:rFonts w:hint="eastAsia" w:eastAsia="仿宋_GB2312"/>
          <w:color w:val="auto"/>
          <w:sz w:val="32"/>
          <w:szCs w:val="32"/>
          <w:lang w:val="en-US" w:eastAsia="zh-CN"/>
        </w:rPr>
        <w:t>8</w:t>
      </w:r>
      <w:r>
        <w:rPr>
          <w:rFonts w:hint="eastAsia" w:eastAsia="仿宋_GB2312"/>
          <w:color w:val="auto"/>
          <w:sz w:val="32"/>
          <w:szCs w:val="32"/>
        </w:rPr>
        <w:t>月7日17：00</w:t>
      </w:r>
      <w:r>
        <w:rPr>
          <w:rFonts w:eastAsia="仿宋_GB2312"/>
          <w:color w:val="auto"/>
          <w:sz w:val="32"/>
          <w:szCs w:val="32"/>
        </w:rPr>
        <w:t>。</w:t>
      </w:r>
    </w:p>
    <w:p>
      <w:pPr>
        <w:tabs>
          <w:tab w:val="center" w:pos="4153"/>
        </w:tabs>
        <w:adjustRightInd w:val="0"/>
        <w:snapToGrid w:val="0"/>
        <w:spacing w:line="336" w:lineRule="auto"/>
        <w:ind w:firstLine="640" w:firstLineChars="200"/>
        <w:jc w:val="left"/>
        <w:rPr>
          <w:rFonts w:eastAsia="仿宋_GB2312"/>
          <w:b/>
          <w:bCs/>
          <w:color w:val="auto"/>
          <w:sz w:val="32"/>
          <w:szCs w:val="32"/>
        </w:rPr>
      </w:pPr>
      <w:r>
        <w:rPr>
          <w:rFonts w:hint="eastAsia" w:eastAsia="仿宋_GB2312"/>
          <w:color w:val="auto"/>
          <w:sz w:val="32"/>
          <w:szCs w:val="32"/>
        </w:rPr>
        <w:t>2.报名递交资料：</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（1）报名函；</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（2）相关专业资质、资格证明材料；</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（3）营业执照副本复印件；</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（4）体现健全的财务制度的证明材料：承诺书或者年度财务状况报告复印件。</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（5）法定代表人身份证复印件。</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（6）法定代表人授权委托书原件和授权代表身份证复印件。</w:t>
      </w:r>
    </w:p>
    <w:p>
      <w:pPr>
        <w:adjustRightInd w:val="0"/>
        <w:snapToGrid w:val="0"/>
        <w:spacing w:line="336" w:lineRule="auto"/>
        <w:ind w:firstLine="643" w:firstLineChars="200"/>
        <w:rPr>
          <w:rFonts w:eastAsia="仿宋_GB2312"/>
          <w:b/>
          <w:bCs/>
          <w:color w:val="auto"/>
          <w:sz w:val="32"/>
          <w:szCs w:val="32"/>
        </w:rPr>
      </w:pPr>
      <w:r>
        <w:rPr>
          <w:rFonts w:hint="eastAsia" w:ascii="仿宋_GB2312" w:hAnsi="仿宋" w:eastAsia="仿宋_GB2312" w:cs="仿宋_GB2312"/>
          <w:b/>
          <w:bCs/>
          <w:color w:val="auto"/>
          <w:sz w:val="32"/>
          <w:szCs w:val="32"/>
        </w:rPr>
        <w:t>以上资料均须加盖单位公章并</w:t>
      </w:r>
      <w:r>
        <w:rPr>
          <w:rFonts w:eastAsia="仿宋_GB2312"/>
          <w:b/>
          <w:bCs/>
          <w:color w:val="auto"/>
          <w:sz w:val="32"/>
          <w:szCs w:val="32"/>
        </w:rPr>
        <w:t>于</w:t>
      </w:r>
      <w:r>
        <w:rPr>
          <w:rFonts w:hint="eastAsia" w:eastAsia="仿宋_GB2312"/>
          <w:b/>
          <w:bCs/>
          <w:color w:val="auto"/>
          <w:sz w:val="32"/>
          <w:szCs w:val="32"/>
        </w:rPr>
        <w:t>报名截止时间</w:t>
      </w:r>
      <w:r>
        <w:rPr>
          <w:rFonts w:eastAsia="仿宋_GB2312"/>
          <w:b/>
          <w:bCs/>
          <w:color w:val="auto"/>
          <w:sz w:val="32"/>
          <w:szCs w:val="32"/>
        </w:rPr>
        <w:t>前报送至</w:t>
      </w:r>
      <w:r>
        <w:rPr>
          <w:rFonts w:hint="eastAsia" w:eastAsia="仿宋_GB2312"/>
          <w:b/>
          <w:bCs/>
          <w:color w:val="auto"/>
          <w:sz w:val="32"/>
          <w:szCs w:val="32"/>
        </w:rPr>
        <w:t>自贡市中医医院卧龙湖院区2号楼40</w:t>
      </w:r>
      <w:r>
        <w:rPr>
          <w:rFonts w:hint="eastAsia" w:eastAsia="仿宋_GB2312"/>
          <w:b/>
          <w:bCs/>
          <w:color w:val="auto"/>
          <w:sz w:val="32"/>
          <w:szCs w:val="32"/>
          <w:lang w:val="en-US" w:eastAsia="zh-CN"/>
        </w:rPr>
        <w:t>8</w:t>
      </w:r>
      <w:r>
        <w:rPr>
          <w:rFonts w:hint="eastAsia" w:eastAsia="仿宋_GB2312"/>
          <w:b/>
          <w:bCs/>
          <w:color w:val="auto"/>
          <w:sz w:val="32"/>
          <w:szCs w:val="32"/>
        </w:rPr>
        <w:t>室</w:t>
      </w:r>
      <w:r>
        <w:rPr>
          <w:rFonts w:eastAsia="仿宋_GB2312"/>
          <w:b/>
          <w:bCs/>
          <w:color w:val="auto"/>
          <w:sz w:val="32"/>
          <w:szCs w:val="32"/>
        </w:rPr>
        <w:t>（纸质材料1份</w:t>
      </w:r>
      <w:r>
        <w:rPr>
          <w:rFonts w:hint="eastAsia" w:eastAsia="仿宋_GB2312"/>
          <w:b/>
          <w:bCs/>
          <w:color w:val="auto"/>
          <w:sz w:val="32"/>
          <w:szCs w:val="32"/>
          <w:lang w:eastAsia="zh-CN"/>
        </w:rPr>
        <w:t>或</w:t>
      </w:r>
      <w:r>
        <w:rPr>
          <w:rFonts w:eastAsia="仿宋_GB2312"/>
          <w:b/>
          <w:bCs/>
          <w:color w:val="auto"/>
          <w:sz w:val="32"/>
          <w:szCs w:val="32"/>
        </w:rPr>
        <w:t>扫描件电子档）</w:t>
      </w:r>
      <w:r>
        <w:rPr>
          <w:rFonts w:hint="eastAsia" w:eastAsia="仿宋_GB2312"/>
          <w:b/>
          <w:bCs/>
          <w:color w:val="auto"/>
          <w:sz w:val="32"/>
          <w:szCs w:val="32"/>
        </w:rPr>
        <w:t>，资格审定合格后医院将电话通知参与单位。</w:t>
      </w:r>
    </w:p>
    <w:p>
      <w:pPr>
        <w:numPr>
          <w:ilvl w:val="0"/>
          <w:numId w:val="1"/>
        </w:numPr>
        <w:adjustRightInd w:val="0"/>
        <w:snapToGrid w:val="0"/>
        <w:spacing w:line="336" w:lineRule="auto"/>
        <w:ind w:firstLine="640"/>
        <w:rPr>
          <w:rFonts w:ascii="楷体_GB2312" w:eastAsia="楷体_GB2312"/>
          <w:color w:val="auto"/>
          <w:sz w:val="32"/>
          <w:szCs w:val="32"/>
        </w:rPr>
      </w:pPr>
      <w:r>
        <w:rPr>
          <w:rFonts w:hint="eastAsia" w:ascii="楷体_GB2312" w:eastAsia="楷体_GB2312"/>
          <w:color w:val="auto"/>
          <w:sz w:val="32"/>
          <w:szCs w:val="32"/>
        </w:rPr>
        <w:t>现场陈述</w:t>
      </w:r>
    </w:p>
    <w:p>
      <w:pPr>
        <w:adjustRightInd w:val="0"/>
        <w:snapToGrid w:val="0"/>
        <w:spacing w:line="336" w:lineRule="auto"/>
        <w:ind w:firstLine="640" w:firstLineChars="200"/>
        <w:rPr>
          <w:rFonts w:eastAsia="仿宋_GB2312"/>
          <w:color w:val="auto"/>
          <w:sz w:val="32"/>
          <w:szCs w:val="32"/>
        </w:rPr>
      </w:pPr>
      <w:r>
        <w:rPr>
          <w:rFonts w:hint="eastAsia" w:eastAsia="仿宋_GB2312"/>
          <w:color w:val="auto"/>
          <w:sz w:val="32"/>
          <w:szCs w:val="32"/>
        </w:rPr>
        <w:t>1.</w:t>
      </w:r>
      <w:r>
        <w:rPr>
          <w:rFonts w:eastAsia="仿宋_GB2312"/>
          <w:color w:val="auto"/>
          <w:sz w:val="32"/>
          <w:szCs w:val="32"/>
        </w:rPr>
        <w:t>时间：初步定于2023年</w:t>
      </w:r>
      <w:r>
        <w:rPr>
          <w:rFonts w:hint="eastAsia" w:eastAsia="仿宋_GB2312"/>
          <w:color w:val="auto"/>
          <w:sz w:val="32"/>
          <w:szCs w:val="32"/>
          <w:lang w:val="en-US" w:eastAsia="zh-CN"/>
        </w:rPr>
        <w:t>8</w:t>
      </w:r>
      <w:r>
        <w:rPr>
          <w:rFonts w:eastAsia="仿宋_GB2312"/>
          <w:color w:val="auto"/>
          <w:sz w:val="32"/>
          <w:szCs w:val="32"/>
        </w:rPr>
        <w:t>月</w:t>
      </w:r>
      <w:r>
        <w:rPr>
          <w:rFonts w:hint="eastAsia" w:eastAsia="仿宋_GB2312"/>
          <w:color w:val="auto"/>
          <w:sz w:val="32"/>
          <w:szCs w:val="32"/>
          <w:lang w:val="en-US" w:eastAsia="zh-CN"/>
        </w:rPr>
        <w:t>15</w:t>
      </w:r>
      <w:r>
        <w:rPr>
          <w:rFonts w:hint="eastAsia" w:eastAsia="仿宋_GB2312"/>
          <w:color w:val="auto"/>
          <w:sz w:val="32"/>
          <w:szCs w:val="32"/>
        </w:rPr>
        <w:t>日，下午</w:t>
      </w:r>
      <w:r>
        <w:rPr>
          <w:rFonts w:hint="eastAsia" w:ascii="仿宋_GB2312" w:hAnsi="仿宋_GB2312" w:eastAsia="仿宋_GB2312" w:cs="仿宋_GB2312"/>
          <w:color w:val="auto"/>
          <w:sz w:val="32"/>
          <w:szCs w:val="32"/>
        </w:rPr>
        <w:t>14：40，若有变动将电话通知资格审核合格单位</w:t>
      </w:r>
      <w:r>
        <w:rPr>
          <w:rFonts w:hint="eastAsia" w:eastAsia="仿宋_GB2312"/>
          <w:color w:val="auto"/>
          <w:sz w:val="32"/>
          <w:szCs w:val="32"/>
        </w:rPr>
        <w:t>。</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2.地点：自贡市中医医院卧龙湖医院2号楼411会议室。</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 w:eastAsia="仿宋_GB2312" w:cs="宋体"/>
          <w:color w:val="auto"/>
          <w:kern w:val="0"/>
          <w:sz w:val="32"/>
          <w:szCs w:val="32"/>
        </w:rPr>
        <w:t>3.现场资料：各参与单位按照《制剂中心运行合作项目现场陈述评分表》(附件2)为指南，制作</w:t>
      </w:r>
      <w:r>
        <w:rPr>
          <w:rFonts w:hint="eastAsia" w:ascii="仿宋_GB2312" w:hAnsi="仿宋_GB2312" w:eastAsia="仿宋_GB2312" w:cs="仿宋_GB2312"/>
          <w:color w:val="auto"/>
          <w:sz w:val="32"/>
          <w:szCs w:val="32"/>
        </w:rPr>
        <w:t>合作方案即</w:t>
      </w:r>
      <w:r>
        <w:rPr>
          <w:rFonts w:hint="eastAsia" w:ascii="仿宋_GB2312" w:hAnsi="仿宋" w:eastAsia="仿宋_GB2312" w:cs="宋体"/>
          <w:color w:val="auto"/>
          <w:kern w:val="0"/>
          <w:sz w:val="32"/>
          <w:szCs w:val="32"/>
        </w:rPr>
        <w:t>遴选响应资料，现场陈述时须</w:t>
      </w:r>
      <w:r>
        <w:rPr>
          <w:rFonts w:hint="eastAsia" w:ascii="仿宋_GB2312" w:hAnsi="仿宋_GB2312" w:eastAsia="仿宋_GB2312" w:cs="仿宋_GB2312"/>
          <w:color w:val="auto"/>
          <w:sz w:val="32"/>
          <w:szCs w:val="32"/>
        </w:rPr>
        <w:t>提供纸质版资料10份并加盖印章。</w:t>
      </w:r>
    </w:p>
    <w:p>
      <w:pPr>
        <w:adjustRightInd w:val="0"/>
        <w:snapToGrid w:val="0"/>
        <w:spacing w:line="336" w:lineRule="auto"/>
        <w:ind w:firstLine="640" w:firstLineChars="200"/>
        <w:rPr>
          <w:rFonts w:ascii="仿宋_GB2312" w:hAnsi="仿宋" w:eastAsia="仿宋_GB2312" w:cs="宋体"/>
          <w:color w:val="auto"/>
          <w:kern w:val="0"/>
          <w:sz w:val="32"/>
          <w:szCs w:val="32"/>
        </w:rPr>
      </w:pPr>
      <w:r>
        <w:rPr>
          <w:rFonts w:hint="eastAsia" w:ascii="仿宋_GB2312" w:hAnsi="仿宋_GB2312" w:eastAsia="仿宋_GB2312" w:cs="仿宋_GB2312"/>
          <w:color w:val="auto"/>
          <w:sz w:val="32"/>
          <w:szCs w:val="32"/>
        </w:rPr>
        <w:t>4.陈述方式：参与遴选单位根据现场抽签方式，决定陈述顺序，准备不超过20分钟的PPT演示稿，主要对</w:t>
      </w:r>
      <w:r>
        <w:rPr>
          <w:rFonts w:hint="eastAsia" w:ascii="仿宋_GB2312" w:hAnsi="仿宋" w:eastAsia="仿宋_GB2312" w:cs="宋体"/>
          <w:color w:val="auto"/>
          <w:kern w:val="0"/>
          <w:sz w:val="32"/>
          <w:szCs w:val="32"/>
        </w:rPr>
        <w:t>评分表</w:t>
      </w:r>
      <w:r>
        <w:rPr>
          <w:rFonts w:hint="eastAsia" w:ascii="仿宋_GB2312" w:hAnsi="仿宋_GB2312" w:eastAsia="仿宋_GB2312" w:cs="仿宋_GB2312"/>
          <w:color w:val="auto"/>
          <w:sz w:val="32"/>
          <w:szCs w:val="32"/>
        </w:rPr>
        <w:t>中合作方案、售后服务等核心内容进行陈述，现场答疑10分钟。各单位参与现场陈述人员不超过3人。</w:t>
      </w:r>
    </w:p>
    <w:p>
      <w:pPr>
        <w:adjustRightInd w:val="0"/>
        <w:snapToGrid w:val="0"/>
        <w:spacing w:line="336" w:lineRule="auto"/>
        <w:ind w:firstLine="640" w:firstLineChars="200"/>
        <w:rPr>
          <w:rFonts w:eastAsia="仿宋_GB2312"/>
          <w:color w:val="auto"/>
          <w:sz w:val="32"/>
          <w:szCs w:val="32"/>
        </w:rPr>
      </w:pPr>
      <w:r>
        <w:rPr>
          <w:rFonts w:hint="eastAsia" w:eastAsia="仿宋_GB2312"/>
          <w:color w:val="auto"/>
          <w:sz w:val="32"/>
          <w:szCs w:val="32"/>
        </w:rPr>
        <w:t>5.评分标准：遴选小组工作人员依据各单位提供的合作方案和现场陈述进行打分。去掉一个最高分和一个最低分，取算术平均分，按得分高低排序，得分排名前2名的单位进入下一轮实地考察，其余单位自动淘汰。</w:t>
      </w:r>
    </w:p>
    <w:p>
      <w:pPr>
        <w:adjustRightInd w:val="0"/>
        <w:snapToGrid w:val="0"/>
        <w:spacing w:line="336" w:lineRule="auto"/>
        <w:ind w:firstLine="640" w:firstLineChars="200"/>
        <w:rPr>
          <w:rFonts w:ascii="楷体_GB2312" w:eastAsia="楷体_GB2312"/>
          <w:color w:val="auto"/>
          <w:sz w:val="32"/>
          <w:szCs w:val="32"/>
        </w:rPr>
      </w:pPr>
      <w:r>
        <w:rPr>
          <w:rFonts w:hint="eastAsia" w:ascii="楷体_GB2312" w:eastAsia="楷体_GB2312"/>
          <w:color w:val="auto"/>
          <w:sz w:val="32"/>
          <w:szCs w:val="32"/>
        </w:rPr>
        <w:t>（三）实地考察</w:t>
      </w:r>
    </w:p>
    <w:p>
      <w:pPr>
        <w:adjustRightInd w:val="0"/>
        <w:snapToGrid w:val="0"/>
        <w:spacing w:line="336" w:lineRule="auto"/>
        <w:ind w:firstLine="640" w:firstLineChars="200"/>
        <w:rPr>
          <w:rFonts w:eastAsia="仿宋_GB2312"/>
          <w:color w:val="auto"/>
          <w:sz w:val="32"/>
          <w:szCs w:val="32"/>
        </w:rPr>
      </w:pPr>
      <w:r>
        <w:rPr>
          <w:rFonts w:hint="eastAsia" w:ascii="仿宋_GB2312" w:hAnsi="宋体" w:eastAsia="仿宋_GB2312" w:cs="宋体"/>
          <w:color w:val="auto"/>
          <w:kern w:val="0"/>
          <w:sz w:val="32"/>
          <w:szCs w:val="32"/>
        </w:rPr>
        <w:t>医院组织遴选小组工作人员对进入考察阶段的单位进行实地参观考察，进一步深入了解、对比，综合分析单位实力。各单位按照</w:t>
      </w:r>
      <w:r>
        <w:rPr>
          <w:rFonts w:hint="eastAsia" w:ascii="仿宋_GB2312" w:hAnsi="仿宋" w:eastAsia="仿宋_GB2312" w:cs="宋体"/>
          <w:color w:val="auto"/>
          <w:kern w:val="0"/>
          <w:sz w:val="32"/>
          <w:szCs w:val="32"/>
        </w:rPr>
        <w:t>《</w:t>
      </w:r>
      <w:r>
        <w:rPr>
          <w:rFonts w:hint="eastAsia" w:ascii="仿宋_GB2312" w:hAnsi="仿宋_GB2312" w:eastAsia="仿宋_GB2312" w:cs="仿宋_GB2312"/>
          <w:color w:val="auto"/>
          <w:sz w:val="32"/>
          <w:szCs w:val="32"/>
        </w:rPr>
        <w:t>制剂中心运行合作项目实地考察评分表</w:t>
      </w:r>
      <w:r>
        <w:rPr>
          <w:rFonts w:hint="eastAsia" w:ascii="仿宋_GB2312" w:hAnsi="仿宋" w:eastAsia="仿宋_GB2312" w:cs="宋体"/>
          <w:color w:val="auto"/>
          <w:kern w:val="0"/>
          <w:sz w:val="32"/>
          <w:szCs w:val="32"/>
        </w:rPr>
        <w:t>》（附件3）作好准备并提供相应佐证资料加盖印章。</w:t>
      </w:r>
      <w:r>
        <w:rPr>
          <w:rFonts w:hint="eastAsia" w:eastAsia="仿宋_GB2312"/>
          <w:color w:val="auto"/>
          <w:sz w:val="32"/>
          <w:szCs w:val="32"/>
        </w:rPr>
        <w:t>遴选小组工作人员依据实地考察情况和各单位提供的佐证资料进行评判打分排名。</w:t>
      </w:r>
    </w:p>
    <w:p>
      <w:pPr>
        <w:adjustRightInd w:val="0"/>
        <w:snapToGrid w:val="0"/>
        <w:spacing w:line="336" w:lineRule="auto"/>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实地考察时间：待定，根据医院和被考察单位时间确定。</w:t>
      </w:r>
    </w:p>
    <w:p>
      <w:pPr>
        <w:adjustRightInd w:val="0"/>
        <w:snapToGrid w:val="0"/>
        <w:spacing w:line="336" w:lineRule="auto"/>
        <w:ind w:firstLine="640" w:firstLineChars="200"/>
        <w:rPr>
          <w:rFonts w:ascii="仿宋_GB2312" w:hAnsi="仿宋" w:eastAsia="仿宋_GB2312" w:cs="宋体"/>
          <w:color w:val="auto"/>
          <w:kern w:val="0"/>
          <w:sz w:val="32"/>
          <w:szCs w:val="32"/>
        </w:rPr>
      </w:pPr>
      <w:r>
        <w:rPr>
          <w:rFonts w:hint="eastAsia" w:ascii="楷体_GB2312" w:eastAsia="楷体_GB2312"/>
          <w:color w:val="auto"/>
          <w:sz w:val="32"/>
          <w:szCs w:val="32"/>
        </w:rPr>
        <w:t>（四）综合审议</w:t>
      </w:r>
    </w:p>
    <w:p>
      <w:pPr>
        <w:adjustRightInd w:val="0"/>
        <w:snapToGrid w:val="0"/>
        <w:spacing w:line="336" w:lineRule="auto"/>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1.遴选小组根据第一轮现场陈述及第二轮实地考察进行量化打分各占50%，按得分高低排序，报医院院长办公会研究决定并提请党委会审定。</w:t>
      </w:r>
    </w:p>
    <w:p>
      <w:pPr>
        <w:adjustRightInd w:val="0"/>
        <w:snapToGrid w:val="0"/>
        <w:spacing w:line="336" w:lineRule="auto"/>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2.通过医院两会审定后初步确定合作单位，双方根据</w:t>
      </w:r>
      <w:r>
        <w:rPr>
          <w:rFonts w:hint="eastAsia" w:ascii="仿宋_GB2312" w:hAnsi="仿宋" w:eastAsia="仿宋_GB2312" w:cs="宋体"/>
          <w:color w:val="auto"/>
          <w:kern w:val="0"/>
          <w:sz w:val="32"/>
          <w:szCs w:val="32"/>
        </w:rPr>
        <w:t>《制剂中心运行合作框架协议书》（附件1）和遴选响应</w:t>
      </w:r>
      <w:r>
        <w:rPr>
          <w:rFonts w:hint="eastAsia" w:ascii="仿宋_GB2312" w:hAnsi="宋体" w:eastAsia="仿宋_GB2312"/>
          <w:color w:val="auto"/>
          <w:sz w:val="32"/>
          <w:szCs w:val="32"/>
        </w:rPr>
        <w:t>共同完善</w:t>
      </w:r>
      <w:r>
        <w:rPr>
          <w:rFonts w:hint="eastAsia" w:ascii="仿宋_GB2312" w:hAnsi="仿宋" w:eastAsia="仿宋_GB2312" w:cs="宋体"/>
          <w:color w:val="auto"/>
          <w:kern w:val="0"/>
          <w:sz w:val="32"/>
          <w:szCs w:val="32"/>
        </w:rPr>
        <w:t>合作协议，报</w:t>
      </w:r>
      <w:r>
        <w:rPr>
          <w:rFonts w:hint="eastAsia" w:ascii="仿宋_GB2312" w:hAnsi="宋体" w:eastAsia="仿宋_GB2312"/>
          <w:color w:val="auto"/>
          <w:sz w:val="32"/>
          <w:szCs w:val="32"/>
        </w:rPr>
        <w:t>市卫生健康委报备同意。</w:t>
      </w:r>
    </w:p>
    <w:p>
      <w:pPr>
        <w:adjustRightInd w:val="0"/>
        <w:snapToGrid w:val="0"/>
        <w:spacing w:line="336" w:lineRule="auto"/>
        <w:ind w:firstLine="640" w:firstLineChars="200"/>
        <w:rPr>
          <w:rFonts w:ascii="楷体_GB2312" w:eastAsia="楷体_GB2312"/>
          <w:color w:val="auto"/>
          <w:sz w:val="32"/>
          <w:szCs w:val="32"/>
        </w:rPr>
      </w:pPr>
      <w:r>
        <w:rPr>
          <w:rFonts w:hint="eastAsia" w:ascii="楷体_GB2312" w:eastAsia="楷体_GB2312"/>
          <w:color w:val="auto"/>
          <w:sz w:val="32"/>
          <w:szCs w:val="32"/>
        </w:rPr>
        <w:t>（五）结果公示</w:t>
      </w:r>
    </w:p>
    <w:p>
      <w:pPr>
        <w:widowControl/>
        <w:adjustRightInd w:val="0"/>
        <w:snapToGrid w:val="0"/>
        <w:spacing w:line="336" w:lineRule="auto"/>
        <w:ind w:firstLine="640" w:firstLineChars="200"/>
        <w:jc w:val="left"/>
        <w:rPr>
          <w:rFonts w:ascii="仿宋_GB2312" w:hAnsi="宋体" w:eastAsia="仿宋_GB2312" w:cs="宋体"/>
          <w:color w:val="auto"/>
          <w:kern w:val="0"/>
          <w:sz w:val="32"/>
          <w:szCs w:val="32"/>
        </w:rPr>
      </w:pPr>
      <w:r>
        <w:rPr>
          <w:rFonts w:hint="eastAsia" w:ascii="仿宋_GB2312" w:hAnsi="仿宋_GB2312" w:eastAsia="仿宋_GB2312" w:cs="仿宋_GB2312"/>
          <w:color w:val="auto"/>
          <w:sz w:val="32"/>
          <w:szCs w:val="32"/>
        </w:rPr>
        <w:t>医院网站公布拟合作单位，公示期3天。若无异议，则签订正式合作协议。</w:t>
      </w:r>
      <w:r>
        <w:rPr>
          <w:rFonts w:hint="eastAsia" w:ascii="仿宋_GB2312" w:hAnsi="宋体" w:eastAsia="仿宋_GB2312" w:cs="宋体"/>
          <w:color w:val="auto"/>
          <w:kern w:val="0"/>
          <w:sz w:val="32"/>
          <w:szCs w:val="32"/>
        </w:rPr>
        <w:t>医院纪检监察人员对</w:t>
      </w:r>
      <w:r>
        <w:rPr>
          <w:rFonts w:ascii="仿宋_GB2312" w:hAnsi="宋体" w:eastAsia="仿宋_GB2312" w:cs="宋体"/>
          <w:color w:val="auto"/>
          <w:kern w:val="0"/>
          <w:sz w:val="32"/>
          <w:szCs w:val="32"/>
        </w:rPr>
        <w:t>整个</w:t>
      </w:r>
      <w:r>
        <w:rPr>
          <w:rFonts w:hint="eastAsia" w:ascii="仿宋_GB2312" w:hAnsi="宋体" w:eastAsia="仿宋_GB2312" w:cs="宋体"/>
          <w:color w:val="auto"/>
          <w:kern w:val="0"/>
          <w:sz w:val="32"/>
          <w:szCs w:val="32"/>
        </w:rPr>
        <w:t>遴选工作进行全程监督。</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四、</w:t>
      </w:r>
      <w:r>
        <w:rPr>
          <w:rFonts w:hint="eastAsia" w:eastAsia="仿宋_GB2312"/>
          <w:color w:val="auto"/>
          <w:sz w:val="32"/>
          <w:szCs w:val="32"/>
        </w:rPr>
        <w:t>未尽事宜</w:t>
      </w:r>
      <w:r>
        <w:rPr>
          <w:rFonts w:hint="eastAsia" w:ascii="仿宋_GB2312" w:hAnsi="仿宋_GB2312" w:eastAsia="仿宋_GB2312" w:cs="仿宋_GB2312"/>
          <w:color w:val="auto"/>
          <w:sz w:val="32"/>
          <w:szCs w:val="32"/>
        </w:rPr>
        <w:t>敬请联系医院事业发展科，联系人：袁帅，电话：0813-</w:t>
      </w:r>
      <w:r>
        <w:rPr>
          <w:rFonts w:hint="eastAsia" w:ascii="仿宋_GB2312" w:hAnsi="仿宋_GB2312" w:eastAsia="仿宋_GB2312" w:cs="仿宋_GB2312"/>
          <w:color w:val="auto"/>
          <w:sz w:val="32"/>
          <w:szCs w:val="32"/>
          <w:lang w:val="en-US" w:eastAsia="zh-CN"/>
        </w:rPr>
        <w:t>5110827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17039989777</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邮箱：1265716007@qq.com</w:t>
      </w:r>
    </w:p>
    <w:p>
      <w:pPr>
        <w:rPr>
          <w:rFonts w:ascii="仿宋_GB2312" w:eastAsia="仿宋_GB2312"/>
          <w:color w:val="auto"/>
          <w:sz w:val="32"/>
          <w:szCs w:val="32"/>
        </w:rPr>
      </w:pPr>
      <w:r>
        <w:rPr>
          <w:rFonts w:hint="eastAsia" w:ascii="仿宋_GB2312" w:hAnsi="仿宋_GB2312" w:eastAsia="仿宋_GB2312" w:cs="仿宋_GB2312"/>
          <w:color w:val="auto"/>
          <w:sz w:val="32"/>
          <w:szCs w:val="32"/>
        </w:rPr>
        <w:t>附件：1.</w:t>
      </w:r>
      <w:r>
        <w:rPr>
          <w:rFonts w:hint="eastAsia" w:ascii="仿宋_GB2312" w:hAnsi="仿宋" w:eastAsia="仿宋_GB2312" w:cs="宋体"/>
          <w:color w:val="auto"/>
          <w:kern w:val="0"/>
          <w:sz w:val="32"/>
          <w:szCs w:val="32"/>
        </w:rPr>
        <w:t>制剂</w:t>
      </w:r>
      <w:r>
        <w:rPr>
          <w:rFonts w:hint="eastAsia" w:ascii="仿宋_GB2312" w:eastAsia="仿宋_GB2312"/>
          <w:color w:val="auto"/>
          <w:sz w:val="32"/>
          <w:szCs w:val="32"/>
        </w:rPr>
        <w:t>中心运行合作框架协议书</w:t>
      </w:r>
      <w:bookmarkStart w:id="0" w:name="_GoBack"/>
      <w:bookmarkEnd w:id="0"/>
    </w:p>
    <w:p>
      <w:pPr>
        <w:ind w:firstLine="960" w:firstLineChars="3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2.制剂中心运行合作项目现场陈述评分表</w:t>
      </w:r>
    </w:p>
    <w:p>
      <w:pPr>
        <w:widowControl/>
        <w:wordWrap w:val="0"/>
        <w:spacing w:line="560" w:lineRule="exact"/>
        <w:ind w:firstLine="960" w:firstLineChars="300"/>
        <w:rPr>
          <w:rFonts w:eastAsia="仿宋_GB2312"/>
          <w:color w:val="auto"/>
          <w:spacing w:val="-8"/>
          <w:sz w:val="32"/>
          <w:szCs w:val="32"/>
        </w:rPr>
      </w:pPr>
      <w:r>
        <w:rPr>
          <w:rFonts w:hint="eastAsia" w:ascii="仿宋_GB2312" w:hAnsi="仿宋_GB2312" w:eastAsia="仿宋_GB2312" w:cs="仿宋_GB2312"/>
          <w:color w:val="auto"/>
          <w:sz w:val="32"/>
          <w:szCs w:val="32"/>
        </w:rPr>
        <w:t>3.制剂中心运行合作项目实地考察评分表</w:t>
      </w:r>
    </w:p>
    <w:p>
      <w:pPr>
        <w:pStyle w:val="3"/>
        <w:ind w:firstLine="320"/>
        <w:rPr>
          <w:rFonts w:hint="eastAsia"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val="en-US" w:eastAsia="zh-CN"/>
        </w:rPr>
        <w:t xml:space="preserve">  </w:t>
      </w:r>
    </w:p>
    <w:p>
      <w:pPr>
        <w:pStyle w:val="3"/>
        <w:ind w:firstLine="320"/>
        <w:rPr>
          <w:rFonts w:hint="eastAsia" w:ascii="黑体" w:hAnsi="黑体" w:eastAsia="黑体" w:cs="黑体"/>
          <w:color w:val="auto"/>
          <w:kern w:val="0"/>
          <w:sz w:val="32"/>
          <w:szCs w:val="32"/>
          <w:lang w:val="en-US" w:eastAsia="zh-CN"/>
        </w:rPr>
      </w:pPr>
    </w:p>
    <w:p>
      <w:pPr>
        <w:pStyle w:val="3"/>
        <w:keepNext w:val="0"/>
        <w:keepLines w:val="0"/>
        <w:pageBreakBefore w:val="0"/>
        <w:widowControl w:val="0"/>
        <w:kinsoku/>
        <w:wordWrap/>
        <w:overflowPunct/>
        <w:topLinePunct w:val="0"/>
        <w:autoSpaceDE/>
        <w:autoSpaceDN/>
        <w:bidi w:val="0"/>
        <w:adjustRightInd w:val="0"/>
        <w:snapToGrid w:val="0"/>
        <w:spacing w:line="336" w:lineRule="auto"/>
        <w:ind w:firstLine="5440" w:firstLineChars="17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自贡市中医医院</w:t>
      </w:r>
    </w:p>
    <w:p>
      <w:pPr>
        <w:pStyle w:val="3"/>
        <w:keepNext w:val="0"/>
        <w:keepLines w:val="0"/>
        <w:pageBreakBefore w:val="0"/>
        <w:widowControl w:val="0"/>
        <w:kinsoku/>
        <w:wordWrap/>
        <w:overflowPunct/>
        <w:topLinePunct w:val="0"/>
        <w:autoSpaceDE/>
        <w:autoSpaceDN/>
        <w:bidi w:val="0"/>
        <w:adjustRightInd w:val="0"/>
        <w:snapToGrid w:val="0"/>
        <w:spacing w:line="336" w:lineRule="auto"/>
        <w:ind w:firstLine="5440" w:firstLineChars="17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2023年8月3日</w:t>
      </w:r>
    </w:p>
    <w:p>
      <w:pPr>
        <w:pStyle w:val="3"/>
        <w:ind w:firstLine="320"/>
        <w:rPr>
          <w:rFonts w:ascii="黑体" w:hAnsi="黑体" w:eastAsia="黑体" w:cs="黑体"/>
          <w:color w:val="auto"/>
          <w:kern w:val="0"/>
          <w:sz w:val="32"/>
          <w:szCs w:val="32"/>
        </w:rPr>
      </w:pPr>
    </w:p>
    <w:p>
      <w:pPr>
        <w:pStyle w:val="3"/>
        <w:ind w:firstLine="320"/>
        <w:rPr>
          <w:rFonts w:ascii="黑体" w:hAnsi="黑体" w:eastAsia="黑体" w:cs="黑体"/>
          <w:color w:val="auto"/>
          <w:kern w:val="0"/>
          <w:sz w:val="32"/>
          <w:szCs w:val="32"/>
        </w:rPr>
      </w:pPr>
    </w:p>
    <w:p>
      <w:pPr>
        <w:pStyle w:val="3"/>
        <w:ind w:firstLine="320"/>
        <w:rPr>
          <w:rFonts w:ascii="黑体" w:hAnsi="黑体" w:eastAsia="黑体" w:cs="黑体"/>
          <w:color w:val="auto"/>
          <w:kern w:val="0"/>
          <w:sz w:val="32"/>
          <w:szCs w:val="32"/>
        </w:rPr>
      </w:pPr>
    </w:p>
    <w:p>
      <w:pPr>
        <w:pStyle w:val="3"/>
        <w:ind w:firstLine="320"/>
        <w:rPr>
          <w:rFonts w:ascii="黑体" w:hAnsi="黑体" w:eastAsia="黑体" w:cs="黑体"/>
          <w:color w:val="auto"/>
          <w:kern w:val="0"/>
          <w:sz w:val="32"/>
          <w:szCs w:val="32"/>
        </w:rPr>
      </w:pPr>
    </w:p>
    <w:p>
      <w:pPr>
        <w:pStyle w:val="3"/>
        <w:ind w:firstLine="320"/>
        <w:rPr>
          <w:rFonts w:ascii="黑体" w:hAnsi="黑体" w:eastAsia="黑体" w:cs="黑体"/>
          <w:color w:val="auto"/>
          <w:kern w:val="0"/>
          <w:sz w:val="32"/>
          <w:szCs w:val="32"/>
        </w:rPr>
      </w:pPr>
    </w:p>
    <w:p>
      <w:pPr>
        <w:pStyle w:val="3"/>
        <w:ind w:firstLine="320"/>
        <w:rPr>
          <w:rFonts w:ascii="黑体" w:hAnsi="黑体" w:eastAsia="黑体" w:cs="黑体"/>
          <w:color w:val="auto"/>
          <w:kern w:val="0"/>
          <w:sz w:val="32"/>
          <w:szCs w:val="32"/>
        </w:rPr>
      </w:pPr>
    </w:p>
    <w:p>
      <w:pPr>
        <w:pStyle w:val="3"/>
        <w:ind w:firstLine="320"/>
        <w:rPr>
          <w:rFonts w:ascii="黑体" w:hAnsi="黑体" w:eastAsia="黑体" w:cs="黑体"/>
          <w:color w:val="auto"/>
          <w:kern w:val="0"/>
          <w:sz w:val="32"/>
          <w:szCs w:val="32"/>
        </w:rPr>
      </w:pPr>
    </w:p>
    <w:p>
      <w:pPr>
        <w:rPr>
          <w:rFonts w:ascii="仿宋_GB2312" w:eastAsia="仿宋_GB2312"/>
          <w:color w:val="auto"/>
          <w:sz w:val="32"/>
          <w:szCs w:val="32"/>
        </w:rPr>
      </w:pPr>
      <w:r>
        <w:rPr>
          <w:rFonts w:hint="eastAsia" w:ascii="黑体" w:hAnsi="黑体" w:eastAsia="黑体" w:cs="黑体"/>
          <w:color w:val="auto"/>
          <w:kern w:val="0"/>
          <w:sz w:val="32"/>
          <w:szCs w:val="32"/>
        </w:rPr>
        <w:t>附件1：</w:t>
      </w:r>
    </w:p>
    <w:p>
      <w:pPr>
        <w:pStyle w:val="4"/>
        <w:widowControl/>
        <w:adjustRightInd w:val="0"/>
        <w:snapToGrid w:val="0"/>
        <w:spacing w:before="0" w:beforeAutospacing="0" w:after="0" w:afterAutospacing="0" w:line="336" w:lineRule="auto"/>
        <w:jc w:val="center"/>
        <w:rPr>
          <w:rFonts w:hint="default" w:ascii="微软雅黑" w:hAnsi="微软雅黑" w:eastAsia="微软雅黑" w:cs="微软雅黑"/>
          <w:color w:val="auto"/>
          <w:sz w:val="44"/>
          <w:szCs w:val="44"/>
        </w:rPr>
      </w:pPr>
      <w:r>
        <w:rPr>
          <w:rFonts w:ascii="微软雅黑" w:hAnsi="微软雅黑" w:eastAsia="微软雅黑" w:cs="微软雅黑"/>
          <w:b w:val="0"/>
          <w:color w:val="auto"/>
          <w:sz w:val="44"/>
          <w:szCs w:val="44"/>
        </w:rPr>
        <w:t>制剂中心运行合作框架协议书</w:t>
      </w:r>
    </w:p>
    <w:p>
      <w:pPr>
        <w:adjustRightInd w:val="0"/>
        <w:snapToGrid w:val="0"/>
        <w:spacing w:line="336" w:lineRule="auto"/>
        <w:ind w:left="180" w:right="-512"/>
        <w:jc w:val="center"/>
        <w:rPr>
          <w:rFonts w:ascii="宋体" w:hAnsi="宋体"/>
          <w:color w:val="auto"/>
          <w:sz w:val="24"/>
        </w:rPr>
      </w:pPr>
    </w:p>
    <w:p>
      <w:pPr>
        <w:adjustRightInd w:val="0"/>
        <w:snapToGrid w:val="0"/>
        <w:spacing w:line="336" w:lineRule="auto"/>
        <w:rPr>
          <w:rFonts w:ascii="仿宋_GB2312" w:hAnsi="仿宋" w:eastAsia="仿宋_GB2312" w:cs="仿宋"/>
          <w:color w:val="auto"/>
          <w:sz w:val="32"/>
          <w:szCs w:val="32"/>
        </w:rPr>
      </w:pPr>
      <w:r>
        <w:rPr>
          <w:rFonts w:hint="eastAsia" w:ascii="仿宋_GB2312" w:hAnsi="仿宋" w:eastAsia="仿宋_GB2312" w:cs="仿宋"/>
          <w:color w:val="auto"/>
          <w:sz w:val="32"/>
          <w:szCs w:val="32"/>
        </w:rPr>
        <w:t>甲方：</w:t>
      </w:r>
      <w:r>
        <w:rPr>
          <w:rFonts w:hint="eastAsia" w:ascii="仿宋_GB2312" w:hAnsi="仿宋" w:eastAsia="仿宋_GB2312" w:cs="仿宋"/>
          <w:color w:val="auto"/>
          <w:sz w:val="32"/>
          <w:szCs w:val="32"/>
          <w:u w:val="single"/>
        </w:rPr>
        <w:t xml:space="preserve">自贡市中医医院 </w:t>
      </w:r>
    </w:p>
    <w:p>
      <w:pPr>
        <w:adjustRightInd w:val="0"/>
        <w:snapToGrid w:val="0"/>
        <w:spacing w:line="336" w:lineRule="auto"/>
        <w:rPr>
          <w:rFonts w:ascii="仿宋_GB2312" w:hAnsi="仿宋" w:eastAsia="仿宋_GB2312" w:cs="仿宋"/>
          <w:color w:val="auto"/>
          <w:sz w:val="32"/>
          <w:szCs w:val="32"/>
          <w:u w:val="single"/>
        </w:rPr>
      </w:pPr>
      <w:r>
        <w:rPr>
          <w:rFonts w:hint="eastAsia" w:ascii="仿宋_GB2312" w:hAnsi="仿宋" w:eastAsia="仿宋_GB2312" w:cs="仿宋"/>
          <w:color w:val="auto"/>
          <w:sz w:val="32"/>
          <w:szCs w:val="32"/>
        </w:rPr>
        <w:t>乙方：</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eastAsia="仿宋_GB2312"/>
          <w:color w:val="auto"/>
          <w:sz w:val="32"/>
          <w:szCs w:val="32"/>
        </w:rPr>
        <w:t>为贯彻落实《中共中央、国务院关于促进中医药传承创新发展的意见》、《国务院办公厅印发关于加快中医药特色发展若干政策措施的通知》（国办发〔2021〕3号）、《国务院办公厅关于印发“十四五”中医药发展规划的通知》（国办发〔2022〕5号）等文件要求，医疗机构应充分发挥中医药特色、提高中医制剂使用</w:t>
      </w:r>
      <w:r>
        <w:rPr>
          <w:rFonts w:hint="eastAsia" w:ascii="仿宋_GB2312" w:hAnsi="仿宋_GB2312" w:eastAsia="仿宋_GB2312" w:cs="仿宋_GB2312"/>
          <w:color w:val="auto"/>
          <w:sz w:val="32"/>
          <w:szCs w:val="32"/>
        </w:rPr>
        <w:t>。按照相关法律法规和政策要求，甲乙双方经平等、自愿、协商一致，就开展制剂中心运行合作项目事宜达成以下协议：</w:t>
      </w:r>
    </w:p>
    <w:p>
      <w:pPr>
        <w:numPr>
          <w:ilvl w:val="0"/>
          <w:numId w:val="2"/>
        </w:numPr>
        <w:adjustRightInd w:val="0"/>
        <w:snapToGrid w:val="0"/>
        <w:spacing w:line="336" w:lineRule="auto"/>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 xml:space="preserve">  合作目标</w:t>
      </w:r>
    </w:p>
    <w:p>
      <w:pPr>
        <w:numPr>
          <w:ilvl w:val="0"/>
          <w:numId w:val="3"/>
        </w:num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实现制剂中心的规范化管理，进一步提升中医特色服务能力，为群众提供安全、有效的特色中药制剂，建成立足自贡、辐射川南、具有区域影响力的制剂中心。</w:t>
      </w:r>
    </w:p>
    <w:p>
      <w:pPr>
        <w:ind w:firstLine="640" w:firstLineChars="200"/>
        <w:rPr>
          <w:color w:val="auto"/>
        </w:rPr>
      </w:pPr>
      <w:r>
        <w:rPr>
          <w:rFonts w:hint="eastAsia" w:ascii="仿宋_GB2312" w:hAnsi="仿宋_GB2312" w:eastAsia="仿宋_GB2312" w:cs="仿宋_GB2312"/>
          <w:color w:val="auto"/>
          <w:sz w:val="32"/>
          <w:szCs w:val="40"/>
        </w:rPr>
        <w:t>（二）合作第一年预计年产值600万元，并以每年20%的量递增。满足甲方制剂需求的同时，可承接其他医疗机构的委托配制、制剂研发、调剂等业务。</w:t>
      </w:r>
    </w:p>
    <w:p>
      <w:pPr>
        <w:adjustRightInd w:val="0"/>
        <w:snapToGrid w:val="0"/>
        <w:spacing w:line="336" w:lineRule="auto"/>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第二条  合作内容</w:t>
      </w:r>
    </w:p>
    <w:p>
      <w:pPr>
        <w:adjustRightInd w:val="0"/>
        <w:snapToGrid w:val="0"/>
        <w:spacing w:line="336" w:lineRule="auto"/>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（一）运行管理</w:t>
      </w:r>
    </w:p>
    <w:p>
      <w:pPr>
        <w:pStyle w:val="17"/>
        <w:shd w:val="clear" w:color="auto" w:fill="FFFFFF"/>
        <w:spacing w:before="0" w:beforeAutospacing="0" w:after="225" w:afterAutospacing="0" w:line="360" w:lineRule="atLeas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1.甲方负责提供制剂中心场地、设备，派不低于2名药师驻点上班，负责制剂中心饮片质量、工艺流程、质量检验等环节的监督、质量把控和业务指导。</w:t>
      </w:r>
    </w:p>
    <w:p>
      <w:pPr>
        <w:pStyle w:val="17"/>
        <w:shd w:val="clear" w:color="auto" w:fill="FFFFFF"/>
        <w:spacing w:before="0" w:beforeAutospacing="0" w:after="225" w:afterAutospacing="0" w:line="360" w:lineRule="atLeas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2.乙方负责按《医疗机构制剂许可证验收标准》、《</w:t>
      </w:r>
      <w:r>
        <w:rPr>
          <w:rFonts w:ascii="仿宋_GB2312" w:hAnsi="仿宋_GB2312" w:eastAsia="仿宋_GB2312" w:cs="仿宋_GB2312"/>
          <w:color w:val="auto"/>
          <w:sz w:val="32"/>
          <w:szCs w:val="32"/>
        </w:rPr>
        <w:t>医疗机构制剂配制质量管理规范</w:t>
      </w:r>
      <w:r>
        <w:rPr>
          <w:rFonts w:hint="eastAsia" w:ascii="仿宋_GB2312" w:hAnsi="仿宋_GB2312" w:eastAsia="仿宋_GB2312" w:cs="仿宋_GB2312"/>
          <w:color w:val="auto"/>
          <w:sz w:val="32"/>
          <w:szCs w:val="32"/>
        </w:rPr>
        <w:t>》、《医疗机构制剂配制监督管理办法》的有关规定，负责制剂中心制剂及临方加工产品生产、检验、运行、维护、配送等服务。</w:t>
      </w:r>
    </w:p>
    <w:p>
      <w:pPr>
        <w:pStyle w:val="17"/>
        <w:shd w:val="clear" w:color="auto" w:fill="FFFFFF"/>
        <w:spacing w:before="0" w:beforeAutospacing="0" w:after="225" w:afterAutospacing="0" w:line="360" w:lineRule="atLeast"/>
        <w:ind w:firstLine="640" w:firstLineChars="200"/>
        <w:jc w:val="both"/>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3.乙方须提供甲方设备清单外的满足制剂及临方加工产品生产、检验必须的小型设施设备、玻璃仪器、办公用品、物品等。</w:t>
      </w:r>
    </w:p>
    <w:p>
      <w:pPr>
        <w:adjustRightInd w:val="0"/>
        <w:snapToGrid w:val="0"/>
        <w:spacing w:line="336" w:lineRule="auto"/>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（二）人员配置</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1.乙方须为甲方制剂中心配备符合相关规定要求的工作团队，人数不低于4人，其人员关系隶属乙方，乙方须有明确的管理体系和岗位职责。</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2.乙方负责人须有制剂生产、管理经验的药学相关专业技术人员，熟悉制剂生产工艺流程，熟悉制剂相关政策法规。</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3.乙方须至少一人持有《特种设备操作证》，操作生产用压力容器。（制剂中心试运行前考取）</w:t>
      </w:r>
    </w:p>
    <w:p>
      <w:pPr>
        <w:pStyle w:val="2"/>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4.甲方常驻不低于2名药师。岗位职责为手续办理（证件换发、制剂调剂、制剂委托）、安排生产计划、参与生产和部分检验、制剂备案研发负责制剂质量把控等。甲方根据生产需要派驻机动人员协助工作。</w:t>
      </w:r>
    </w:p>
    <w:p>
      <w:pPr>
        <w:adjustRightInd w:val="0"/>
        <w:snapToGrid w:val="0"/>
        <w:spacing w:line="336" w:lineRule="auto"/>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（三）中药饮片供给与管理</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1.制剂中心中药饮片原则上由乙方提供，甲方支付费用。甲方中药饮片实行零库存管理，根据有效成品数量，乙方开具对应的中药饮片原料，由甲方入库。</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药饮片应符合《中华人民共和国药典》、《四川省中药饮片炮制规范》、《四川省药品标准》等法定质量标准要求，确保实际用药安全有效。中药饮片质量不得低于医院现行小包装中药饮片质量，且价格不高于现行制剂用大包装中药饮片价格。个别中药饮片价格过高，由甲方询价后，选择质优价廉供应商。</w:t>
      </w:r>
    </w:p>
    <w:p>
      <w:pPr>
        <w:adjustRightInd w:val="0"/>
        <w:snapToGrid w:val="0"/>
        <w:spacing w:line="336" w:lineRule="auto"/>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（四）包材、辅料供给与管理</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制剂中心包材、辅料由乙方提供并承担费用。包材、辅料须满足药用标准，须符合甲方已经备案的质量要求和工艺流程需要。</w:t>
      </w:r>
    </w:p>
    <w:p>
      <w:pPr>
        <w:adjustRightInd w:val="0"/>
        <w:snapToGrid w:val="0"/>
        <w:spacing w:line="336" w:lineRule="auto"/>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（五）质量检验与耗材管理</w:t>
      </w:r>
    </w:p>
    <w:p>
      <w:pPr>
        <w:ind w:firstLine="640" w:firstLineChars="200"/>
        <w:rPr>
          <w:rFonts w:eastAsia="仿宋_GB2312"/>
          <w:color w:val="auto"/>
        </w:rPr>
      </w:pPr>
      <w:r>
        <w:rPr>
          <w:rFonts w:hint="eastAsia" w:ascii="仿宋_GB2312" w:hAnsi="仿宋_GB2312" w:eastAsia="仿宋_GB2312" w:cs="仿宋_GB2312"/>
          <w:color w:val="auto"/>
          <w:sz w:val="32"/>
          <w:szCs w:val="32"/>
        </w:rPr>
        <w:t>制剂中心质量检验涉及的对照品、试剂等耗材由乙方提供并承担费用，管理须满足市场监督管理局相关要求。若需委托有资质的第三方机构检测，所有检测费用由乙方承担。</w:t>
      </w:r>
    </w:p>
    <w:p>
      <w:pPr>
        <w:adjustRightInd w:val="0"/>
        <w:snapToGrid w:val="0"/>
        <w:spacing w:line="336" w:lineRule="auto"/>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（六）设备管理</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1.甲方提供制剂中心的设备，由甲乙双方共同清点后列出清单统一委托乙方管理，设备所有权属于甲方。</w:t>
      </w:r>
    </w:p>
    <w:p>
      <w:pPr>
        <w:ind w:firstLine="640" w:firstLineChars="200"/>
        <w:rPr>
          <w:rFonts w:eastAsia="仿宋_GB2312"/>
          <w:color w:val="auto"/>
        </w:rPr>
      </w:pPr>
      <w:r>
        <w:rPr>
          <w:rFonts w:hint="eastAsia" w:ascii="仿宋_GB2312" w:hAnsi="仿宋_GB2312" w:eastAsia="仿宋_GB2312" w:cs="仿宋_GB2312"/>
          <w:color w:val="auto"/>
          <w:sz w:val="32"/>
          <w:szCs w:val="32"/>
        </w:rPr>
        <w:t>2.乙方提供甲方设备清单外的满足制剂生产、检验必须的小型设施设备及办公用品、物品，所有权属于乙方，使用权属于甲、乙双方。</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3.若因现制剂中心不能满足医院需要、或因接受委托配制，需要新购设备，由乙方自行承担。若因紧急情况下需投入设备的，由乙方提供，满足甲方应急需要。</w:t>
      </w:r>
    </w:p>
    <w:p>
      <w:p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合作期间乙方为满足制剂中心高效运行投入的设施设备，所有权属于乙方。合作期满，乙方投入的设施设备可以带走，也可经双方协商后按《政府会计制度》规定的折旧年限，按折旧后的资产净值1‰（千分之一）出售给甲方。</w:t>
      </w:r>
    </w:p>
    <w:p>
      <w:pPr>
        <w:adjustRightInd w:val="0"/>
        <w:snapToGrid w:val="0"/>
        <w:spacing w:line="336" w:lineRule="auto"/>
        <w:ind w:firstLine="640" w:firstLineChars="200"/>
        <w:rPr>
          <w:color w:val="auto"/>
        </w:rPr>
      </w:pPr>
      <w:r>
        <w:rPr>
          <w:rFonts w:hint="eastAsia" w:ascii="仿宋_GB2312" w:hAnsi="仿宋_GB2312" w:eastAsia="仿宋_GB2312" w:cs="仿宋_GB2312"/>
          <w:color w:val="auto"/>
          <w:sz w:val="32"/>
          <w:szCs w:val="32"/>
        </w:rPr>
        <w:t>5.乙方负责对配备的设施设备定期维保，确保设备正常运转。在质保期内由甲方按设备采购合同约定执行，所需费用由乙方承担。质保期满的维保、零配件更换的所有费用由乙方承担。</w:t>
      </w:r>
    </w:p>
    <w:p>
      <w:pPr>
        <w:adjustRightInd w:val="0"/>
        <w:snapToGrid w:val="0"/>
        <w:spacing w:line="336" w:lineRule="auto"/>
        <w:ind w:firstLine="643" w:firstLineChars="200"/>
        <w:rPr>
          <w:rFonts w:ascii="仿宋_GB2312" w:hAnsi="仿宋_GB2312" w:eastAsia="楷体_GB2312" w:cs="仿宋_GB2312"/>
          <w:color w:val="auto"/>
          <w:sz w:val="32"/>
          <w:szCs w:val="32"/>
        </w:rPr>
      </w:pPr>
      <w:r>
        <w:rPr>
          <w:rFonts w:hint="eastAsia" w:ascii="楷体_GB2312" w:hAnsi="楷体_GB2312" w:eastAsia="楷体_GB2312" w:cs="楷体_GB2312"/>
          <w:b/>
          <w:bCs/>
          <w:color w:val="auto"/>
          <w:sz w:val="32"/>
          <w:szCs w:val="32"/>
        </w:rPr>
        <w:t>（七）制剂供应</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1.配送的地点。乙方应按照甲方的要求选择配送至甲方药房、委托配制单位或调剂单位，并承担配送费用。</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2.本院制剂供应。乙方自接到甲方制剂生产计划时，应于20个工作日生产、检验合格后配送到位，确保临床不断药。乙方承担临床缺药带来的损失。</w:t>
      </w:r>
    </w:p>
    <w:p>
      <w:pPr>
        <w:pStyle w:val="2"/>
        <w:rPr>
          <w:rFonts w:eastAsia="仿宋_GB2312"/>
          <w:color w:val="auto"/>
        </w:rPr>
      </w:pPr>
      <w:r>
        <w:rPr>
          <w:rFonts w:hint="eastAsia" w:ascii="仿宋_GB2312" w:hAnsi="仿宋_GB2312" w:eastAsia="仿宋_GB2312" w:cs="仿宋_GB2312"/>
          <w:color w:val="auto"/>
          <w:sz w:val="32"/>
          <w:szCs w:val="32"/>
        </w:rPr>
        <w:t xml:space="preserve">    3.委托配制制剂供应。乙方自接到委托配制单位制剂生产计划时，应于30个工作日生产、检验合格后配送到位。</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4.调剂单位制剂供应。乙方自接到调剂单位药品计划时，有库存的，应于5个工作日内配送到位；无库存的，应于35个工作日内生产、配送到位。</w:t>
      </w:r>
    </w:p>
    <w:p>
      <w:pPr>
        <w:adjustRightInd w:val="0"/>
        <w:snapToGrid w:val="0"/>
        <w:spacing w:line="336" w:lineRule="auto"/>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（八）质量监督</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1.甲方有权随时赴实地检查或抽查，以确保制剂生产质量，乙方必须无条件接受甲方监管。不符合甲方要求的中药饮片、包材、辅料、耗材等，乙方须无条件及时更换，保证制剂质量为第一要务。</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2.乙方须对生产的制剂质量负责，应加强制剂生产全过程的质量监管，建立健全跟踪、追溯、监控体系，做到“</w:t>
      </w:r>
      <w:r>
        <w:rPr>
          <w:rFonts w:ascii="仿宋_GB2312" w:hAnsi="仿宋_GB2312" w:eastAsia="仿宋_GB2312" w:cs="仿宋_GB2312"/>
          <w:color w:val="auto"/>
          <w:sz w:val="32"/>
          <w:szCs w:val="32"/>
        </w:rPr>
        <w:t>一切行为有规范</w:t>
      </w:r>
      <w:r>
        <w:rPr>
          <w:rFonts w:hint="eastAsia" w:ascii="仿宋_GB2312" w:hAnsi="仿宋_GB2312" w:eastAsia="仿宋_GB2312" w:cs="仿宋_GB2312"/>
          <w:color w:val="auto"/>
          <w:sz w:val="32"/>
          <w:szCs w:val="32"/>
        </w:rPr>
        <w:t>、</w:t>
      </w:r>
      <w:r>
        <w:rPr>
          <w:rFonts w:ascii="仿宋_GB2312" w:hAnsi="仿宋_GB2312" w:eastAsia="仿宋_GB2312" w:cs="仿宋_GB2312"/>
          <w:color w:val="auto"/>
          <w:sz w:val="32"/>
          <w:szCs w:val="32"/>
        </w:rPr>
        <w:t>有记录、有复核、可追溯</w:t>
      </w:r>
      <w:r>
        <w:rPr>
          <w:rFonts w:hint="eastAsia" w:ascii="仿宋_GB2312" w:hAnsi="仿宋_GB2312" w:eastAsia="仿宋_GB2312" w:cs="仿宋_GB2312"/>
          <w:color w:val="auto"/>
          <w:sz w:val="32"/>
          <w:szCs w:val="32"/>
        </w:rPr>
        <w:t>”。</w:t>
      </w:r>
    </w:p>
    <w:p>
      <w:pPr>
        <w:pStyle w:val="2"/>
        <w:rPr>
          <w:color w:val="auto"/>
        </w:rPr>
      </w:pPr>
      <w:r>
        <w:rPr>
          <w:rFonts w:hint="eastAsia" w:ascii="仿宋_GB2312" w:hAnsi="仿宋_GB2312" w:eastAsia="仿宋_GB2312" w:cs="仿宋_GB2312"/>
          <w:color w:val="auto"/>
          <w:sz w:val="32"/>
          <w:szCs w:val="32"/>
        </w:rPr>
        <w:t xml:space="preserve">    3.乙方承担所配制制剂的质量，并承担因此带来的投诉、报损等一切损失。生产中的不合格制剂的一切损失由乙方承担。</w:t>
      </w:r>
    </w:p>
    <w:p>
      <w:pPr>
        <w:adjustRightInd w:val="0"/>
        <w:snapToGrid w:val="0"/>
        <w:spacing w:line="336" w:lineRule="auto"/>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第四条   服务费用</w:t>
      </w:r>
    </w:p>
    <w:p>
      <w:pPr>
        <w:adjustRightInd w:val="0"/>
        <w:snapToGrid w:val="0"/>
        <w:spacing w:line="336" w:lineRule="auto"/>
        <w:ind w:firstLine="643" w:firstLineChars="200"/>
        <w:rPr>
          <w:rFonts w:ascii="仿宋_GB2312" w:hAnsi="仿宋_GB2312" w:eastAsia="楷体_GB2312" w:cs="仿宋_GB2312"/>
          <w:color w:val="auto"/>
          <w:sz w:val="32"/>
          <w:szCs w:val="32"/>
        </w:rPr>
      </w:pPr>
      <w:r>
        <w:rPr>
          <w:rFonts w:hint="eastAsia" w:ascii="楷体_GB2312" w:hAnsi="楷体_GB2312" w:eastAsia="楷体_GB2312" w:cs="楷体_GB2312"/>
          <w:b/>
          <w:bCs/>
          <w:color w:val="auto"/>
          <w:sz w:val="32"/>
          <w:szCs w:val="32"/>
        </w:rPr>
        <w:t>（一）制剂配制费用约定</w:t>
      </w:r>
    </w:p>
    <w:p>
      <w:pPr>
        <w:adjustRightInd w:val="0"/>
        <w:snapToGrid w:val="0"/>
        <w:spacing w:line="336" w:lineRule="auto"/>
        <w:ind w:firstLine="640" w:firstLineChars="200"/>
        <w:rPr>
          <w:rFonts w:ascii="仿宋_GB2312" w:hAnsi="仿宋_GB2312" w:eastAsia="仿宋_GB2312" w:cs="仿宋_GB2312"/>
          <w:color w:val="auto"/>
          <w:sz w:val="32"/>
          <w:szCs w:val="32"/>
          <w:highlight w:val="yellow"/>
        </w:rPr>
      </w:pPr>
      <w:r>
        <w:rPr>
          <w:rFonts w:hint="eastAsia" w:ascii="仿宋_GB2312" w:hAnsi="仿宋_GB2312" w:eastAsia="仿宋_GB2312" w:cs="仿宋_GB2312"/>
          <w:color w:val="auto"/>
          <w:sz w:val="32"/>
          <w:szCs w:val="32"/>
        </w:rPr>
        <w:t>1.本院制剂配制费。乙方向甲方收取配制费为：按甲方零售价，不高于产值金额的15%。（具体比例需遴选后确定）。一季度结算一次。</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委托配制费。乙方在满足甲方需要的情况下，乙方积极拓展服务，可接受其他单位委托配制，甲方负责办理相关手续，由甲方与受委托单位签订协议。乙方向甲方收取的委托配制费用不高于甲方收取委托单位费用的70%（具体比例需遴选后确定）。甲方在收到委托单位委托配制费后不超过2月及时支付给乙方。</w:t>
      </w:r>
    </w:p>
    <w:p>
      <w:pPr>
        <w:adjustRightInd w:val="0"/>
        <w:snapToGrid w:val="0"/>
        <w:spacing w:line="336" w:lineRule="auto"/>
        <w:ind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（二）</w:t>
      </w:r>
      <w:r>
        <w:rPr>
          <w:rFonts w:hint="eastAsia" w:ascii="仿宋_GB2312" w:hAnsi="仿宋_GB2312" w:eastAsia="仿宋_GB2312" w:cs="仿宋_GB2312"/>
          <w:color w:val="auto"/>
          <w:sz w:val="32"/>
          <w:szCs w:val="32"/>
        </w:rPr>
        <w:t>甲方按乙方提供合格产品的饮片实际用量支付乙方饮片费用，实行零库存管理。乙方提供的人工、包材辅料、检验、中试产品、不合格产品等所有费用由乙方承担。</w:t>
      </w:r>
    </w:p>
    <w:p>
      <w:pPr>
        <w:pStyle w:val="2"/>
        <w:adjustRightInd w:val="0"/>
        <w:snapToGrid w:val="0"/>
        <w:spacing w:after="0" w:line="336" w:lineRule="auto"/>
        <w:ind w:firstLine="643" w:firstLineChars="200"/>
        <w:rPr>
          <w:rFonts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rPr>
        <w:t>（三）</w:t>
      </w:r>
      <w:r>
        <w:rPr>
          <w:rFonts w:hint="eastAsia" w:ascii="仿宋_GB2312" w:hAnsi="仿宋_GB2312" w:eastAsia="仿宋_GB2312" w:cs="仿宋_GB2312"/>
          <w:color w:val="auto"/>
          <w:sz w:val="32"/>
          <w:szCs w:val="32"/>
        </w:rPr>
        <w:t>乙方负责制剂中心水、电、气、保洁等费用，按月按实向甲方支付费用。甲方负责为制剂中心设置独立的水、电、气表。</w:t>
      </w:r>
    </w:p>
    <w:p>
      <w:pPr>
        <w:numPr>
          <w:ilvl w:val="0"/>
          <w:numId w:val="4"/>
        </w:numPr>
        <w:adjustRightInd w:val="0"/>
        <w:snapToGrid w:val="0"/>
        <w:spacing w:line="336" w:lineRule="auto"/>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保密协议</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（一）乙方人员应严格保密甲方的技术秘密，包括但不限于处方、工艺流程、质量标准等。</w:t>
      </w:r>
    </w:p>
    <w:p>
      <w:pPr>
        <w:pStyle w:val="2"/>
        <w:ind w:firstLine="640" w:firstLineChars="200"/>
        <w:rPr>
          <w:color w:val="auto"/>
        </w:rPr>
      </w:pPr>
      <w:r>
        <w:rPr>
          <w:rFonts w:hint="eastAsia" w:ascii="仿宋_GB2312" w:hAnsi="仿宋_GB2312" w:eastAsia="仿宋_GB2312" w:cs="仿宋_GB2312"/>
          <w:color w:val="auto"/>
          <w:sz w:val="32"/>
          <w:szCs w:val="32"/>
        </w:rPr>
        <w:t>（二）乙方在双方合作期间取得的任何甲方技术秘密资料，属于甲方资产，应于结束合作时归还甲方。</w:t>
      </w:r>
    </w:p>
    <w:p>
      <w:pPr>
        <w:pStyle w:val="2"/>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（三）保密约定不因双方合作的终止而终止，乙方承担一切泄密给甲方带来的损失。</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黑体" w:hAnsi="黑体" w:eastAsia="黑体" w:cs="黑体"/>
          <w:color w:val="auto"/>
          <w:sz w:val="32"/>
          <w:szCs w:val="32"/>
        </w:rPr>
        <w:t>第六条   违约责任</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（一）因乙方没能按本协议约定的时间、地点按时供应制剂，由乙方承担一切后果并负责解决，给甲方造成经济损失的，由乙方承担。</w:t>
      </w:r>
    </w:p>
    <w:p>
      <w:pPr>
        <w:adjustRightInd w:val="0"/>
        <w:snapToGrid w:val="0"/>
        <w:spacing w:line="336" w:lineRule="auto"/>
        <w:ind w:firstLine="640" w:firstLineChars="200"/>
        <w:rPr>
          <w:color w:val="auto"/>
        </w:rPr>
      </w:pPr>
      <w:r>
        <w:rPr>
          <w:rFonts w:hint="eastAsia" w:ascii="仿宋_GB2312" w:hAnsi="仿宋_GB2312" w:eastAsia="仿宋_GB2312" w:cs="仿宋_GB2312"/>
          <w:color w:val="auto"/>
          <w:sz w:val="32"/>
          <w:szCs w:val="32"/>
        </w:rPr>
        <w:t>（二）因乙方提供的中药饮片、包材、辅料、试剂等质量不合格、生产过程不规范、文件书写不规范所导致的投诉、整改、报损等事件，由乙方负责。</w:t>
      </w:r>
    </w:p>
    <w:p>
      <w:pPr>
        <w:adjustRightInd w:val="0"/>
        <w:snapToGrid w:val="0"/>
        <w:spacing w:line="336" w:lineRule="auto"/>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第七条  其他</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（一）本协议为初步协议，具体合作事宜应在遴选后按乙方响应和承诺的具体内容进一步完善、协商。</w:t>
      </w:r>
    </w:p>
    <w:p>
      <w:pPr>
        <w:adjustRightInd w:val="0"/>
        <w:snapToGrid w:val="0"/>
        <w:spacing w:line="336" w:lineRule="auto"/>
        <w:ind w:firstLine="640" w:firstLineChars="200"/>
        <w:rPr>
          <w:color w:val="auto"/>
        </w:rPr>
      </w:pPr>
      <w:r>
        <w:rPr>
          <w:rFonts w:hint="eastAsia" w:ascii="仿宋_GB2312" w:hAnsi="仿宋_GB2312" w:eastAsia="仿宋_GB2312" w:cs="仿宋_GB2312"/>
          <w:color w:val="auto"/>
          <w:sz w:val="32"/>
          <w:szCs w:val="32"/>
        </w:rPr>
        <w:t>（二）未尽事宜，按照《中华人民共和国民法典》、《中国人民共和国药品管理办法》、《医疗机构制剂许可证验收标准》、《</w:t>
      </w:r>
      <w:r>
        <w:rPr>
          <w:rFonts w:ascii="仿宋_GB2312" w:hAnsi="仿宋_GB2312" w:eastAsia="仿宋_GB2312" w:cs="仿宋_GB2312"/>
          <w:color w:val="auto"/>
          <w:sz w:val="32"/>
          <w:szCs w:val="32"/>
        </w:rPr>
        <w:t>医疗机构制剂配制质量管理规范</w:t>
      </w:r>
      <w:r>
        <w:rPr>
          <w:rFonts w:hint="eastAsia" w:ascii="仿宋_GB2312" w:hAnsi="仿宋_GB2312" w:eastAsia="仿宋_GB2312" w:cs="仿宋_GB2312"/>
          <w:color w:val="auto"/>
          <w:sz w:val="32"/>
          <w:szCs w:val="32"/>
        </w:rPr>
        <w:t>》、《医疗机构制剂配制监督管理办法》等相关法律法规执行。</w:t>
      </w:r>
    </w:p>
    <w:p>
      <w:pPr>
        <w:adjustRightInd w:val="0"/>
        <w:snapToGrid w:val="0"/>
        <w:spacing w:line="336" w:lineRule="auto"/>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第八条   协议生效及有效期</w:t>
      </w:r>
    </w:p>
    <w:p>
      <w:pPr>
        <w:adjustRightInd w:val="0"/>
        <w:snapToGrid w:val="0"/>
        <w:spacing w:line="336" w:lineRule="auto"/>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本协议经双方签字盖章之日起生效，以甲方书面通知乙方之日起计算，合作期为</w:t>
      </w:r>
      <w:r>
        <w:rPr>
          <w:rFonts w:hint="eastAsia" w:ascii="仿宋_GB2312" w:hAnsi="仿宋_GB2312" w:eastAsia="仿宋_GB2312" w:cs="仿宋_GB2312"/>
          <w:color w:val="auto"/>
          <w:sz w:val="32"/>
          <w:szCs w:val="32"/>
          <w:u w:val="single"/>
        </w:rPr>
        <w:t xml:space="preserve"> 5</w:t>
      </w:r>
      <w:r>
        <w:rPr>
          <w:rFonts w:hint="eastAsia" w:ascii="仿宋_GB2312" w:hAnsi="仿宋_GB2312" w:eastAsia="仿宋_GB2312" w:cs="仿宋_GB2312"/>
          <w:color w:val="auto"/>
          <w:sz w:val="32"/>
          <w:szCs w:val="32"/>
        </w:rPr>
        <w:t>年，协议期满经双方协商可以续签。本协议一式</w:t>
      </w:r>
      <w:r>
        <w:rPr>
          <w:rFonts w:hint="eastAsia" w:ascii="仿宋_GB2312" w:hAnsi="仿宋_GB2312" w:eastAsia="仿宋_GB2312" w:cs="仿宋_GB2312"/>
          <w:color w:val="auto"/>
          <w:sz w:val="32"/>
          <w:szCs w:val="32"/>
          <w:u w:val="single"/>
        </w:rPr>
        <w:t>肆</w:t>
      </w:r>
      <w:r>
        <w:rPr>
          <w:rFonts w:hint="eastAsia" w:ascii="仿宋_GB2312" w:hAnsi="仿宋_GB2312" w:eastAsia="仿宋_GB2312" w:cs="仿宋_GB2312"/>
          <w:color w:val="auto"/>
          <w:sz w:val="32"/>
          <w:szCs w:val="32"/>
        </w:rPr>
        <w:t>份，双方各执</w:t>
      </w:r>
      <w:r>
        <w:rPr>
          <w:rFonts w:hint="eastAsia" w:ascii="仿宋_GB2312" w:hAnsi="仿宋_GB2312" w:eastAsia="仿宋_GB2312" w:cs="仿宋_GB2312"/>
          <w:color w:val="auto"/>
          <w:sz w:val="32"/>
          <w:szCs w:val="32"/>
          <w:u w:val="single"/>
        </w:rPr>
        <w:t>贰</w:t>
      </w:r>
      <w:r>
        <w:rPr>
          <w:rFonts w:hint="eastAsia" w:ascii="仿宋_GB2312" w:hAnsi="仿宋_GB2312" w:eastAsia="仿宋_GB2312" w:cs="仿宋_GB2312"/>
          <w:color w:val="auto"/>
          <w:sz w:val="32"/>
          <w:szCs w:val="32"/>
        </w:rPr>
        <w:t>份，具有同等法律效力。</w:t>
      </w:r>
    </w:p>
    <w:p>
      <w:pPr>
        <w:pStyle w:val="3"/>
        <w:ind w:firstLine="210"/>
        <w:rPr>
          <w:color w:val="auto"/>
        </w:rPr>
      </w:pPr>
    </w:p>
    <w:p>
      <w:pPr>
        <w:adjustRightInd w:val="0"/>
        <w:snapToGrid w:val="0"/>
        <w:spacing w:line="336" w:lineRule="auto"/>
        <w:rPr>
          <w:rFonts w:ascii="仿宋_GB2312" w:hAnsi="仿宋_GB2312" w:eastAsia="仿宋_GB2312" w:cs="仿宋_GB2312"/>
          <w:color w:val="auto"/>
          <w:sz w:val="32"/>
          <w:szCs w:val="32"/>
        </w:rPr>
      </w:pPr>
    </w:p>
    <w:p>
      <w:pPr>
        <w:pStyle w:val="2"/>
        <w:rPr>
          <w:rFonts w:ascii="仿宋_GB2312" w:hAnsi="仿宋_GB2312" w:eastAsia="仿宋_GB2312" w:cs="仿宋_GB2312"/>
          <w:color w:val="auto"/>
          <w:sz w:val="32"/>
          <w:szCs w:val="32"/>
        </w:rPr>
      </w:pPr>
    </w:p>
    <w:p>
      <w:pPr>
        <w:pStyle w:val="3"/>
        <w:ind w:firstLine="210"/>
        <w:rPr>
          <w:color w:val="auto"/>
        </w:rPr>
      </w:pPr>
    </w:p>
    <w:p>
      <w:pPr>
        <w:adjustRightInd w:val="0"/>
        <w:snapToGrid w:val="0"/>
        <w:spacing w:line="336"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甲方 （盖章）：             乙方（盖章）：</w:t>
      </w:r>
    </w:p>
    <w:p>
      <w:pPr>
        <w:adjustRightInd w:val="0"/>
        <w:snapToGrid w:val="0"/>
        <w:spacing w:line="336" w:lineRule="auto"/>
        <w:rPr>
          <w:rFonts w:ascii="仿宋_GB2312" w:hAnsi="仿宋_GB2312" w:eastAsia="仿宋_GB2312" w:cs="仿宋_GB2312"/>
          <w:color w:val="auto"/>
          <w:sz w:val="32"/>
          <w:szCs w:val="32"/>
        </w:rPr>
      </w:pPr>
    </w:p>
    <w:p>
      <w:pPr>
        <w:adjustRightInd w:val="0"/>
        <w:snapToGrid w:val="0"/>
        <w:spacing w:line="336"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授权代表（签字）：         授权代表（签字）：</w:t>
      </w:r>
    </w:p>
    <w:p>
      <w:pPr>
        <w:adjustRightInd w:val="0"/>
        <w:snapToGrid w:val="0"/>
        <w:spacing w:line="336" w:lineRule="auto"/>
        <w:rPr>
          <w:rFonts w:ascii="仿宋_GB2312" w:hAnsi="仿宋_GB2312" w:eastAsia="仿宋_GB2312" w:cs="仿宋_GB2312"/>
          <w:color w:val="auto"/>
          <w:sz w:val="32"/>
          <w:szCs w:val="32"/>
        </w:rPr>
      </w:pPr>
    </w:p>
    <w:p>
      <w:pPr>
        <w:adjustRightInd w:val="0"/>
        <w:snapToGrid w:val="0"/>
        <w:spacing w:line="336" w:lineRule="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签订日期：   年  月  日    签订日期：   年   月   日</w:t>
      </w:r>
    </w:p>
    <w:p>
      <w:pPr>
        <w:pStyle w:val="2"/>
        <w:rPr>
          <w:color w:val="auto"/>
        </w:rPr>
        <w:sectPr>
          <w:footerReference r:id="rId3" w:type="default"/>
          <w:pgSz w:w="11906" w:h="16838"/>
          <w:pgMar w:top="1440" w:right="1361" w:bottom="1440" w:left="1531" w:header="851" w:footer="992" w:gutter="0"/>
          <w:cols w:space="0" w:num="1"/>
          <w:docGrid w:type="lines" w:linePitch="317" w:charSpace="0"/>
        </w:sectPr>
      </w:pPr>
    </w:p>
    <w:p>
      <w:pPr>
        <w:widowControl/>
        <w:spacing w:before="100" w:beforeAutospacing="1" w:after="100" w:afterAutospacing="1" w:line="560" w:lineRule="exact"/>
        <w:rPr>
          <w:rFonts w:ascii="黑体" w:hAnsi="黑体" w:eastAsia="黑体" w:cs="黑体"/>
          <w:color w:val="auto"/>
          <w:kern w:val="0"/>
          <w:sz w:val="32"/>
          <w:szCs w:val="32"/>
        </w:rPr>
      </w:pPr>
      <w:r>
        <w:rPr>
          <w:rFonts w:hint="eastAsia" w:ascii="黑体" w:hAnsi="黑体" w:eastAsia="黑体" w:cs="黑体"/>
          <w:color w:val="auto"/>
          <w:kern w:val="0"/>
          <w:sz w:val="32"/>
          <w:szCs w:val="32"/>
        </w:rPr>
        <w:t>附件2：</w:t>
      </w:r>
    </w:p>
    <w:tbl>
      <w:tblPr>
        <w:tblStyle w:val="20"/>
        <w:tblW w:w="0" w:type="auto"/>
        <w:tblInd w:w="91" w:type="dxa"/>
        <w:tblLayout w:type="autofit"/>
        <w:tblCellMar>
          <w:top w:w="0" w:type="dxa"/>
          <w:left w:w="108" w:type="dxa"/>
          <w:bottom w:w="0" w:type="dxa"/>
          <w:right w:w="108" w:type="dxa"/>
        </w:tblCellMar>
      </w:tblPr>
      <w:tblGrid>
        <w:gridCol w:w="698"/>
        <w:gridCol w:w="1176"/>
        <w:gridCol w:w="698"/>
        <w:gridCol w:w="698"/>
        <w:gridCol w:w="6150"/>
        <w:gridCol w:w="4557"/>
      </w:tblGrid>
      <w:tr>
        <w:tblPrEx>
          <w:tblCellMar>
            <w:top w:w="0" w:type="dxa"/>
            <w:left w:w="108" w:type="dxa"/>
            <w:bottom w:w="0" w:type="dxa"/>
            <w:right w:w="108" w:type="dxa"/>
          </w:tblCellMar>
        </w:tblPrEx>
        <w:trPr>
          <w:trHeight w:val="257" w:hRule="atLeast"/>
        </w:trPr>
        <w:tc>
          <w:tcPr>
            <w:tcW w:w="13977" w:type="dxa"/>
            <w:gridSpan w:val="6"/>
            <w:tcBorders>
              <w:top w:val="nil"/>
              <w:left w:val="nil"/>
              <w:bottom w:val="nil"/>
              <w:right w:val="nil"/>
            </w:tcBorders>
            <w:shd w:val="clear" w:color="auto" w:fill="auto"/>
            <w:vAlign w:val="center"/>
          </w:tcPr>
          <w:p>
            <w:pPr>
              <w:widowControl/>
              <w:jc w:val="center"/>
              <w:textAlignment w:val="center"/>
              <w:rPr>
                <w:rFonts w:ascii="微软雅黑" w:hAnsi="微软雅黑" w:eastAsia="微软雅黑" w:cs="微软雅黑"/>
                <w:b/>
                <w:bCs/>
                <w:color w:val="auto"/>
                <w:sz w:val="28"/>
                <w:szCs w:val="28"/>
              </w:rPr>
            </w:pPr>
            <w:r>
              <w:rPr>
                <w:rFonts w:hint="eastAsia" w:ascii="微软雅黑" w:hAnsi="微软雅黑" w:eastAsia="微软雅黑" w:cs="微软雅黑"/>
                <w:b/>
                <w:bCs/>
                <w:color w:val="auto"/>
                <w:kern w:val="0"/>
                <w:sz w:val="28"/>
                <w:szCs w:val="28"/>
              </w:rPr>
              <w:t>制剂中心运行合作项目现场陈述评分表</w:t>
            </w:r>
          </w:p>
        </w:tc>
      </w:tr>
      <w:tr>
        <w:tblPrEx>
          <w:tblCellMar>
            <w:top w:w="0" w:type="dxa"/>
            <w:left w:w="108" w:type="dxa"/>
            <w:bottom w:w="0" w:type="dxa"/>
            <w:right w:w="108" w:type="dxa"/>
          </w:tblCellMar>
        </w:tblPrEx>
        <w:trPr>
          <w:trHeight w:val="44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kern w:val="0"/>
                <w:sz w:val="24"/>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kern w:val="0"/>
                <w:sz w:val="24"/>
              </w:rPr>
              <w:t>评分项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kern w:val="0"/>
                <w:sz w:val="24"/>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kern w:val="0"/>
                <w:sz w:val="24"/>
              </w:rPr>
              <w:t>细项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sz w:val="24"/>
              </w:rPr>
              <w:t>评价内容</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sz w:val="24"/>
              </w:rPr>
              <w:t>评分标准</w:t>
            </w:r>
          </w:p>
        </w:tc>
      </w:tr>
      <w:tr>
        <w:tblPrEx>
          <w:tblCellMar>
            <w:top w:w="0" w:type="dxa"/>
            <w:left w:w="108" w:type="dxa"/>
            <w:bottom w:w="0" w:type="dxa"/>
            <w:right w:w="108" w:type="dxa"/>
          </w:tblCellMar>
        </w:tblPrEx>
        <w:trPr>
          <w:trHeight w:val="7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公司实力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20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150" w:type="dxa"/>
            <w:tcBorders>
              <w:top w:val="nil"/>
              <w:left w:val="nil"/>
              <w:bottom w:val="nil"/>
              <w:right w:val="nil"/>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有较丰富的管理经验，具备制剂生产、检验、推广、维保、管理的工作团队。</w:t>
            </w:r>
          </w:p>
        </w:tc>
        <w:tc>
          <w:tcPr>
            <w:tcW w:w="4557" w:type="dxa"/>
            <w:tcBorders>
              <w:top w:val="nil"/>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提供人员配置计划表。缺一项扣1分，扣完为止。</w:t>
            </w:r>
          </w:p>
        </w:tc>
      </w:tr>
      <w:tr>
        <w:tblPrEx>
          <w:tblCellMar>
            <w:top w:w="0" w:type="dxa"/>
            <w:left w:w="108" w:type="dxa"/>
            <w:bottom w:w="0" w:type="dxa"/>
            <w:right w:w="108" w:type="dxa"/>
          </w:tblCellMar>
        </w:tblPrEx>
        <w:trPr>
          <w:trHeight w:val="106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sz w:val="24"/>
              </w:rPr>
              <w:t>8</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有较丰富的工作经验，熟悉制剂相关政策法规，承诺无条件配合医院进行制剂备案、制剂调剂、委托配制等事项的办理。</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sz w:val="24"/>
              </w:rPr>
              <w:t>提供相关事项办理流程及承诺函。缺一项扣2分，扣完为止。</w:t>
            </w:r>
          </w:p>
        </w:tc>
      </w:tr>
      <w:tr>
        <w:tblPrEx>
          <w:tblCellMar>
            <w:top w:w="0" w:type="dxa"/>
            <w:left w:w="108" w:type="dxa"/>
            <w:bottom w:w="0" w:type="dxa"/>
            <w:right w:w="108" w:type="dxa"/>
          </w:tblCellMar>
        </w:tblPrEx>
        <w:trPr>
          <w:trHeight w:val="2051"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sz w:val="24"/>
              </w:rPr>
              <w:t>7</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可提供制剂生产用中药饮片150种以上，货源充足、稳定、质量可控，提供中药饮片供应来源清单。</w:t>
            </w:r>
          </w:p>
        </w:tc>
        <w:tc>
          <w:tcPr>
            <w:tcW w:w="4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中药饮片供应厂家饮片品种来源集中，能在3-8家供应厂家内组织供应的得7分；在9-12家供应厂家内组织供应的得3分；12家以上不得分。不</w:t>
            </w:r>
            <w:r>
              <w:rPr>
                <w:rFonts w:hint="eastAsia" w:ascii="仿宋_GB2312" w:hAnsi="宋体" w:eastAsia="仿宋_GB2312" w:cs="仿宋_GB2312"/>
                <w:color w:val="auto"/>
                <w:sz w:val="24"/>
              </w:rPr>
              <w:t>提供制剂生产用中药饮片来源清单不得分。</w:t>
            </w:r>
          </w:p>
        </w:tc>
      </w:tr>
      <w:tr>
        <w:tblPrEx>
          <w:tblCellMar>
            <w:top w:w="0" w:type="dxa"/>
            <w:left w:w="108" w:type="dxa"/>
            <w:bottom w:w="0" w:type="dxa"/>
            <w:right w:w="108" w:type="dxa"/>
          </w:tblCellMar>
        </w:tblPrEx>
        <w:trPr>
          <w:trHeight w:val="1474" w:hRule="atLeast"/>
        </w:trPr>
        <w:tc>
          <w:tcPr>
            <w:tcW w:w="0" w:type="auto"/>
            <w:vMerge w:val="restart"/>
            <w:tcBorders>
              <w:top w:val="nil"/>
              <w:left w:val="single" w:color="000000" w:sz="4" w:space="0"/>
              <w:bottom w:val="nil"/>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2</w:t>
            </w:r>
          </w:p>
        </w:tc>
        <w:tc>
          <w:tcPr>
            <w:tcW w:w="1176" w:type="dxa"/>
            <w:vMerge w:val="restart"/>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合作</w:t>
            </w:r>
          </w:p>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方案</w:t>
            </w:r>
          </w:p>
        </w:tc>
        <w:tc>
          <w:tcPr>
            <w:tcW w:w="0" w:type="auto"/>
            <w:vMerge w:val="restart"/>
            <w:tcBorders>
              <w:top w:val="nil"/>
              <w:left w:val="single" w:color="000000" w:sz="4" w:space="0"/>
              <w:bottom w:val="nil"/>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sz w:val="24"/>
              </w:rPr>
              <w:t>70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有较强协调配合能力，能在制剂中心的场地建设阶段、设备安装阶段全力配合甲方或相关施工方、厂商开展调试工作，取得《医疗机构制剂许可证》，并能提供相应工作方案。</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能提供配合及工作方案的得5分；能提供配合但无工作方案的得2分；不能提供配合也无工作方案的不得分。</w:t>
            </w:r>
          </w:p>
        </w:tc>
      </w:tr>
      <w:tr>
        <w:tblPrEx>
          <w:tblCellMar>
            <w:top w:w="0" w:type="dxa"/>
            <w:left w:w="108" w:type="dxa"/>
            <w:bottom w:w="0" w:type="dxa"/>
            <w:right w:w="108" w:type="dxa"/>
          </w:tblCellMar>
        </w:tblPrEx>
        <w:trPr>
          <w:trHeight w:val="1459" w:hRule="atLeast"/>
        </w:trPr>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1176"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20</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提供制剂中心合作运行方案，包含但不限于制剂中心人员配置、中药饮片供给、包材和辅料供给、检验及耗材、设备管理、制剂供应、质量监督等方面内容。能保证制剂中心运行、管理规范，获得行业认可。</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提供的方案不完整、操作性不强的，每一项扣2分，扣完为止。</w:t>
            </w:r>
          </w:p>
        </w:tc>
      </w:tr>
      <w:tr>
        <w:tblPrEx>
          <w:tblCellMar>
            <w:top w:w="0" w:type="dxa"/>
            <w:left w:w="108" w:type="dxa"/>
            <w:bottom w:w="0" w:type="dxa"/>
            <w:right w:w="108" w:type="dxa"/>
          </w:tblCellMar>
        </w:tblPrEx>
        <w:trPr>
          <w:trHeight w:val="1459" w:hRule="atLeast"/>
        </w:trPr>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1176"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6</w:t>
            </w:r>
          </w:p>
        </w:tc>
        <w:tc>
          <w:tcPr>
            <w:tcW w:w="615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承诺中药饮片质量不得低于医院现行小包装中药饮片质量，且价格不高于现行制剂用大包装中药饮片价格。包材、辅料须满足药用标准，须符合甲方已经备案的质量要求和工艺流程需要。</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每提供一项承诺函得2分，不能提供承诺函不得分。</w:t>
            </w:r>
          </w:p>
        </w:tc>
      </w:tr>
      <w:tr>
        <w:tblPrEx>
          <w:tblCellMar>
            <w:top w:w="0" w:type="dxa"/>
            <w:left w:w="108" w:type="dxa"/>
            <w:bottom w:w="0" w:type="dxa"/>
            <w:right w:w="108" w:type="dxa"/>
          </w:tblCellMar>
        </w:tblPrEx>
        <w:trPr>
          <w:trHeight w:val="1093" w:hRule="atLeast"/>
        </w:trPr>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1176"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4</w:t>
            </w:r>
          </w:p>
        </w:tc>
        <w:tc>
          <w:tcPr>
            <w:tcW w:w="6150"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提供制剂中心全过程的质量监管方案，建立健全制剂生产质量的跟踪、追溯、监控体系，并能承诺做到无条件接受医院的质量监管。</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提供的方案不完整、操作性不强的，每一项扣1分，扣完为止，不能承诺的不得分。</w:t>
            </w:r>
          </w:p>
        </w:tc>
      </w:tr>
      <w:tr>
        <w:tblPrEx>
          <w:tblCellMar>
            <w:top w:w="0" w:type="dxa"/>
            <w:left w:w="108" w:type="dxa"/>
            <w:bottom w:w="0" w:type="dxa"/>
            <w:right w:w="108" w:type="dxa"/>
          </w:tblCellMar>
        </w:tblPrEx>
        <w:trPr>
          <w:trHeight w:val="1000" w:hRule="atLeast"/>
        </w:trPr>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1176"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698" w:type="dxa"/>
            <w:tcBorders>
              <w:top w:val="single" w:color="000000" w:sz="4" w:space="0"/>
              <w:left w:val="single" w:color="000000" w:sz="4" w:space="0"/>
              <w:bottom w:val="single" w:color="000000" w:sz="4" w:space="0"/>
              <w:right w:val="single" w:color="auto"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15</w:t>
            </w:r>
          </w:p>
        </w:tc>
        <w:tc>
          <w:tcPr>
            <w:tcW w:w="615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本院配制费，合作方向医院收取本院制剂配制费不高于产值金额的15%。</w:t>
            </w:r>
          </w:p>
        </w:tc>
        <w:tc>
          <w:tcPr>
            <w:tcW w:w="4557"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以最低报价为基准价，其分值为满分。</w:t>
            </w:r>
          </w:p>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其他遴选单位的分值按照下列公式计算：报价得分=(基准价／报价)*15分。（四舍五入，保留两位小数，报价区间为1%-15%，非报价区间不得分。）</w:t>
            </w:r>
          </w:p>
        </w:tc>
      </w:tr>
      <w:tr>
        <w:tblPrEx>
          <w:tblCellMar>
            <w:top w:w="0" w:type="dxa"/>
            <w:left w:w="108" w:type="dxa"/>
            <w:bottom w:w="0" w:type="dxa"/>
            <w:right w:w="108" w:type="dxa"/>
          </w:tblCellMar>
        </w:tblPrEx>
        <w:trPr>
          <w:trHeight w:val="982" w:hRule="atLeast"/>
        </w:trPr>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1176"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15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委托配制费，合作方向医院收取委托配制费用不高于医院收取费用的70%。</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以最低报价为基准价，其分值为满分。</w:t>
            </w:r>
          </w:p>
          <w:p>
            <w:pPr>
              <w:jc w:val="left"/>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其他遴选单位的分值按照下列公式计算：报价得分=(基准价／报价)*15分。（四舍五入，保留两位小数，报价区间为10%-70%，非报价区间不得分。）</w:t>
            </w:r>
          </w:p>
        </w:tc>
      </w:tr>
      <w:tr>
        <w:tblPrEx>
          <w:tblCellMar>
            <w:top w:w="0" w:type="dxa"/>
            <w:left w:w="108" w:type="dxa"/>
            <w:bottom w:w="0" w:type="dxa"/>
            <w:right w:w="108" w:type="dxa"/>
          </w:tblCellMar>
        </w:tblPrEx>
        <w:trPr>
          <w:trHeight w:val="790" w:hRule="atLeast"/>
        </w:trPr>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1176"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0" w:type="auto"/>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7"/>
              <w:shd w:val="clear" w:color="auto" w:fill="FFFFFF"/>
              <w:spacing w:before="0" w:beforeAutospacing="0" w:after="225" w:afterAutospacing="0" w:line="360" w:lineRule="atLeast"/>
              <w:jc w:val="both"/>
              <w:rPr>
                <w:rFonts w:ascii="仿宋_GB2312" w:eastAsia="仿宋_GB2312" w:cs="仿宋_GB2312"/>
                <w:color w:val="auto"/>
              </w:rPr>
            </w:pPr>
            <w:r>
              <w:rPr>
                <w:rFonts w:hint="eastAsia" w:ascii="仿宋_GB2312" w:eastAsia="仿宋_GB2312" w:cs="仿宋_GB2312"/>
                <w:color w:val="auto"/>
              </w:rPr>
              <w:t>能提供设备采购清单外的满足制剂生产、检验必须的小型设施设备、玻璃仪器、办公用品、物品等。</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能承诺提供相应物资的得5分，不能承诺的不得分。</w:t>
            </w:r>
          </w:p>
        </w:tc>
      </w:tr>
      <w:tr>
        <w:tblPrEx>
          <w:tblCellMar>
            <w:top w:w="0" w:type="dxa"/>
            <w:left w:w="108" w:type="dxa"/>
            <w:bottom w:w="0" w:type="dxa"/>
            <w:right w:w="108" w:type="dxa"/>
          </w:tblCellMar>
        </w:tblPrEx>
        <w:trPr>
          <w:trHeight w:val="11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3</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售后服务</w:t>
            </w:r>
          </w:p>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方案</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10</w:t>
            </w: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能提供制剂中心运维服务方案，指定专人负责制剂中心资料整理、物流配送等方面售后服务工作，及时提供相应答疑、咨询、投诉等服务。</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提供的方案不完整、操作性不强的，每一项扣1分，扣完为止。</w:t>
            </w:r>
          </w:p>
        </w:tc>
      </w:tr>
      <w:tr>
        <w:tblPrEx>
          <w:tblCellMar>
            <w:top w:w="0" w:type="dxa"/>
            <w:left w:w="108" w:type="dxa"/>
            <w:bottom w:w="0" w:type="dxa"/>
            <w:right w:w="108" w:type="dxa"/>
          </w:tblCellMar>
        </w:tblPrEx>
        <w:trPr>
          <w:trHeight w:val="70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有专业的设备维保团队，在制剂中心合作运行期间，提供高效快捷的维保服务。</w:t>
            </w: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能承诺在合作运行期间免费对制剂中心设备进行维修或同档次更换、保养服务的得5分，否则不得分。</w:t>
            </w:r>
          </w:p>
        </w:tc>
      </w:tr>
      <w:tr>
        <w:tblPrEx>
          <w:tblCellMar>
            <w:top w:w="0" w:type="dxa"/>
            <w:left w:w="108" w:type="dxa"/>
            <w:bottom w:w="0" w:type="dxa"/>
            <w:right w:w="108" w:type="dxa"/>
          </w:tblCellMar>
        </w:tblPrEx>
        <w:trPr>
          <w:trHeight w:val="48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合计</w:t>
            </w:r>
          </w:p>
        </w:tc>
        <w:tc>
          <w:tcPr>
            <w:tcW w:w="13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100</w:t>
            </w:r>
          </w:p>
        </w:tc>
        <w:tc>
          <w:tcPr>
            <w:tcW w:w="615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auto"/>
                <w:sz w:val="24"/>
              </w:rPr>
            </w:pPr>
          </w:p>
        </w:tc>
        <w:tc>
          <w:tcPr>
            <w:tcW w:w="4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4"/>
              </w:rPr>
            </w:pPr>
          </w:p>
        </w:tc>
      </w:tr>
      <w:tr>
        <w:tblPrEx>
          <w:tblCellMar>
            <w:top w:w="0" w:type="dxa"/>
            <w:left w:w="108" w:type="dxa"/>
            <w:bottom w:w="0" w:type="dxa"/>
            <w:right w:w="108" w:type="dxa"/>
          </w:tblCellMar>
        </w:tblPrEx>
        <w:trPr>
          <w:trHeight w:val="705" w:hRule="atLeast"/>
        </w:trPr>
        <w:tc>
          <w:tcPr>
            <w:tcW w:w="1397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r>
              <w:rPr>
                <w:rFonts w:hint="eastAsia" w:ascii="仿宋_GB2312" w:hAnsi="宋体" w:eastAsia="仿宋_GB2312" w:cs="仿宋_GB2312"/>
                <w:b/>
                <w:bCs/>
                <w:color w:val="auto"/>
                <w:kern w:val="0"/>
                <w:sz w:val="24"/>
              </w:rPr>
              <w:t>备注：请各单位按照以上内容制作合作方案，能满足承诺事项要求的，请对应提供承诺说明并加盖公章。</w:t>
            </w:r>
          </w:p>
        </w:tc>
      </w:tr>
    </w:tbl>
    <w:p>
      <w:pPr>
        <w:pStyle w:val="3"/>
        <w:ind w:firstLine="0" w:firstLineChars="0"/>
        <w:rPr>
          <w:rFonts w:ascii="黑体" w:hAnsi="黑体" w:eastAsia="黑体" w:cs="黑体"/>
          <w:color w:val="auto"/>
          <w:sz w:val="32"/>
          <w:szCs w:val="32"/>
        </w:rPr>
      </w:pPr>
    </w:p>
    <w:p>
      <w:pPr>
        <w:pStyle w:val="3"/>
        <w:ind w:firstLine="210"/>
        <w:rPr>
          <w:color w:val="auto"/>
        </w:rPr>
      </w:pPr>
    </w:p>
    <w:p>
      <w:pPr>
        <w:pStyle w:val="3"/>
        <w:ind w:firstLine="210"/>
        <w:rPr>
          <w:color w:val="auto"/>
        </w:rPr>
      </w:pPr>
    </w:p>
    <w:p>
      <w:pPr>
        <w:pStyle w:val="3"/>
        <w:ind w:firstLine="210"/>
        <w:rPr>
          <w:color w:val="auto"/>
        </w:rPr>
      </w:pPr>
    </w:p>
    <w:p>
      <w:pPr>
        <w:rPr>
          <w:color w:val="auto"/>
        </w:rPr>
      </w:pPr>
    </w:p>
    <w:p>
      <w:pPr>
        <w:pStyle w:val="2"/>
        <w:rPr>
          <w:color w:val="auto"/>
        </w:rPr>
      </w:pPr>
    </w:p>
    <w:p>
      <w:pPr>
        <w:pStyle w:val="3"/>
        <w:ind w:firstLine="210"/>
        <w:rPr>
          <w:color w:val="auto"/>
        </w:rPr>
      </w:pPr>
    </w:p>
    <w:p>
      <w:pPr>
        <w:pStyle w:val="3"/>
        <w:ind w:firstLine="210"/>
        <w:rPr>
          <w:color w:val="auto"/>
        </w:rPr>
      </w:pPr>
    </w:p>
    <w:p>
      <w:pPr>
        <w:pStyle w:val="3"/>
        <w:ind w:firstLine="210"/>
        <w:rPr>
          <w:color w:val="auto"/>
        </w:rPr>
      </w:pPr>
    </w:p>
    <w:p>
      <w:pPr>
        <w:pStyle w:val="3"/>
        <w:ind w:firstLine="210"/>
        <w:rPr>
          <w:color w:val="auto"/>
        </w:rPr>
      </w:pPr>
    </w:p>
    <w:p>
      <w:pPr>
        <w:pStyle w:val="3"/>
        <w:ind w:firstLine="210"/>
        <w:rPr>
          <w:color w:val="auto"/>
        </w:rPr>
      </w:pPr>
    </w:p>
    <w:p>
      <w:pPr>
        <w:pStyle w:val="3"/>
        <w:ind w:firstLine="210"/>
        <w:rPr>
          <w:color w:val="auto"/>
        </w:rPr>
      </w:pPr>
    </w:p>
    <w:p>
      <w:pPr>
        <w:pStyle w:val="3"/>
        <w:ind w:firstLine="210"/>
        <w:rPr>
          <w:color w:val="auto"/>
        </w:rPr>
      </w:pPr>
    </w:p>
    <w:p>
      <w:pPr>
        <w:pStyle w:val="3"/>
        <w:ind w:firstLine="210"/>
        <w:rPr>
          <w:color w:val="auto"/>
        </w:rPr>
      </w:pPr>
    </w:p>
    <w:p>
      <w:pPr>
        <w:pStyle w:val="3"/>
        <w:ind w:firstLine="210"/>
        <w:rPr>
          <w:color w:val="auto"/>
        </w:rPr>
      </w:pPr>
    </w:p>
    <w:p>
      <w:pPr>
        <w:pStyle w:val="3"/>
        <w:ind w:firstLine="210"/>
        <w:rPr>
          <w:color w:val="auto"/>
        </w:rPr>
      </w:pPr>
    </w:p>
    <w:p>
      <w:pPr>
        <w:pStyle w:val="3"/>
        <w:ind w:firstLine="210"/>
        <w:rPr>
          <w:color w:val="auto"/>
        </w:rPr>
      </w:pPr>
    </w:p>
    <w:p>
      <w:pPr>
        <w:pStyle w:val="3"/>
        <w:ind w:firstLine="0" w:firstLineChars="0"/>
        <w:rPr>
          <w:rFonts w:ascii="黑体" w:hAnsi="黑体" w:eastAsia="黑体" w:cs="黑体"/>
          <w:color w:val="auto"/>
          <w:sz w:val="32"/>
          <w:szCs w:val="32"/>
        </w:rPr>
      </w:pPr>
      <w:r>
        <w:rPr>
          <w:rFonts w:hint="eastAsia" w:ascii="黑体" w:hAnsi="黑体" w:eastAsia="黑体" w:cs="黑体"/>
          <w:color w:val="auto"/>
          <w:sz w:val="32"/>
          <w:szCs w:val="32"/>
        </w:rPr>
        <w:t>附件3：</w:t>
      </w:r>
    </w:p>
    <w:tbl>
      <w:tblPr>
        <w:tblStyle w:val="20"/>
        <w:tblW w:w="13952" w:type="dxa"/>
        <w:tblInd w:w="91" w:type="dxa"/>
        <w:tblLayout w:type="fixed"/>
        <w:tblCellMar>
          <w:top w:w="0" w:type="dxa"/>
          <w:left w:w="108" w:type="dxa"/>
          <w:bottom w:w="0" w:type="dxa"/>
          <w:right w:w="108" w:type="dxa"/>
        </w:tblCellMar>
      </w:tblPr>
      <w:tblGrid>
        <w:gridCol w:w="355"/>
        <w:gridCol w:w="749"/>
        <w:gridCol w:w="761"/>
        <w:gridCol w:w="775"/>
        <w:gridCol w:w="6258"/>
        <w:gridCol w:w="5054"/>
      </w:tblGrid>
      <w:tr>
        <w:tblPrEx>
          <w:tblCellMar>
            <w:top w:w="0" w:type="dxa"/>
            <w:left w:w="108" w:type="dxa"/>
            <w:bottom w:w="0" w:type="dxa"/>
            <w:right w:w="108" w:type="dxa"/>
          </w:tblCellMar>
        </w:tblPrEx>
        <w:trPr>
          <w:trHeight w:val="695" w:hRule="atLeast"/>
        </w:trPr>
        <w:tc>
          <w:tcPr>
            <w:tcW w:w="13952" w:type="dxa"/>
            <w:gridSpan w:val="6"/>
            <w:tcBorders>
              <w:top w:val="nil"/>
              <w:left w:val="nil"/>
              <w:bottom w:val="nil"/>
              <w:right w:val="nil"/>
            </w:tcBorders>
            <w:shd w:val="clear" w:color="auto" w:fill="auto"/>
            <w:noWrap/>
            <w:vAlign w:val="center"/>
          </w:tcPr>
          <w:p>
            <w:pPr>
              <w:widowControl/>
              <w:jc w:val="center"/>
              <w:textAlignment w:val="center"/>
              <w:rPr>
                <w:rFonts w:ascii="微软雅黑" w:hAnsi="微软雅黑" w:eastAsia="微软雅黑" w:cs="微软雅黑"/>
                <w:b/>
                <w:bCs/>
                <w:color w:val="auto"/>
                <w:sz w:val="28"/>
                <w:szCs w:val="28"/>
              </w:rPr>
            </w:pPr>
            <w:r>
              <w:rPr>
                <w:rFonts w:hint="eastAsia" w:ascii="微软雅黑" w:hAnsi="微软雅黑" w:eastAsia="微软雅黑" w:cs="微软雅黑"/>
                <w:b/>
                <w:bCs/>
                <w:color w:val="auto"/>
                <w:kern w:val="0"/>
                <w:sz w:val="28"/>
                <w:szCs w:val="28"/>
              </w:rPr>
              <w:t>制剂中心运行合作项目实地考察评分表</w:t>
            </w:r>
          </w:p>
        </w:tc>
      </w:tr>
      <w:tr>
        <w:tblPrEx>
          <w:tblCellMar>
            <w:top w:w="0" w:type="dxa"/>
            <w:left w:w="108" w:type="dxa"/>
            <w:bottom w:w="0" w:type="dxa"/>
            <w:right w:w="108" w:type="dxa"/>
          </w:tblCellMar>
        </w:tblPrEx>
        <w:trPr>
          <w:trHeight w:val="494" w:hRule="atLeast"/>
        </w:trPr>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kern w:val="0"/>
                <w:sz w:val="24"/>
              </w:rPr>
              <w:t>序号</w:t>
            </w:r>
          </w:p>
        </w:tc>
        <w:tc>
          <w:tcPr>
            <w:tcW w:w="74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kern w:val="0"/>
                <w:sz w:val="24"/>
              </w:rPr>
              <w:t>评分项</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kern w:val="0"/>
                <w:sz w:val="24"/>
              </w:rPr>
              <w:t>分项</w:t>
            </w:r>
          </w:p>
        </w:tc>
        <w:tc>
          <w:tcPr>
            <w:tcW w:w="7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kern w:val="0"/>
                <w:sz w:val="24"/>
              </w:rPr>
              <w:t>分值</w:t>
            </w:r>
          </w:p>
        </w:tc>
        <w:tc>
          <w:tcPr>
            <w:tcW w:w="62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kern w:val="0"/>
                <w:sz w:val="24"/>
              </w:rPr>
              <w:t>评价内容</w:t>
            </w:r>
          </w:p>
        </w:tc>
        <w:tc>
          <w:tcPr>
            <w:tcW w:w="50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黑体" w:hAnsi="宋体" w:eastAsia="黑体" w:cs="黑体"/>
                <w:b/>
                <w:bCs/>
                <w:color w:val="auto"/>
                <w:sz w:val="24"/>
              </w:rPr>
            </w:pPr>
            <w:r>
              <w:rPr>
                <w:rFonts w:hint="eastAsia" w:ascii="黑体" w:hAnsi="宋体" w:eastAsia="黑体" w:cs="黑体"/>
                <w:b/>
                <w:bCs/>
                <w:color w:val="auto"/>
                <w:kern w:val="0"/>
                <w:sz w:val="24"/>
              </w:rPr>
              <w:t>评分标准</w:t>
            </w:r>
          </w:p>
        </w:tc>
      </w:tr>
      <w:tr>
        <w:tblPrEx>
          <w:tblCellMar>
            <w:top w:w="0" w:type="dxa"/>
            <w:left w:w="108" w:type="dxa"/>
            <w:bottom w:w="0" w:type="dxa"/>
            <w:right w:w="108" w:type="dxa"/>
          </w:tblCellMar>
        </w:tblPrEx>
        <w:trPr>
          <w:trHeight w:val="321" w:hRule="atLeast"/>
        </w:trPr>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b/>
                <w:bCs/>
                <w:color w:val="auto"/>
                <w:sz w:val="24"/>
              </w:rPr>
            </w:pPr>
          </w:p>
        </w:tc>
        <w:tc>
          <w:tcPr>
            <w:tcW w:w="74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b/>
                <w:bCs/>
                <w:color w:val="auto"/>
                <w:sz w:val="24"/>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b/>
                <w:bCs/>
                <w:color w:val="auto"/>
                <w:sz w:val="24"/>
              </w:rPr>
            </w:pPr>
          </w:p>
        </w:tc>
        <w:tc>
          <w:tcPr>
            <w:tcW w:w="7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b/>
                <w:bCs/>
                <w:color w:val="auto"/>
                <w:sz w:val="24"/>
              </w:rPr>
            </w:pPr>
          </w:p>
        </w:tc>
        <w:tc>
          <w:tcPr>
            <w:tcW w:w="62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b/>
                <w:bCs/>
                <w:color w:val="auto"/>
                <w:sz w:val="24"/>
              </w:rPr>
            </w:pPr>
          </w:p>
        </w:tc>
        <w:tc>
          <w:tcPr>
            <w:tcW w:w="50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黑体" w:hAnsi="宋体" w:eastAsia="黑体" w:cs="黑体"/>
                <w:b/>
                <w:bCs/>
                <w:color w:val="auto"/>
                <w:sz w:val="24"/>
              </w:rPr>
            </w:pPr>
          </w:p>
        </w:tc>
      </w:tr>
      <w:tr>
        <w:tblPrEx>
          <w:tblCellMar>
            <w:top w:w="0" w:type="dxa"/>
            <w:left w:w="108" w:type="dxa"/>
            <w:bottom w:w="0" w:type="dxa"/>
            <w:right w:w="108" w:type="dxa"/>
          </w:tblCellMar>
        </w:tblPrEx>
        <w:trPr>
          <w:trHeight w:val="1583" w:hRule="atLeast"/>
        </w:trPr>
        <w:tc>
          <w:tcPr>
            <w:tcW w:w="355" w:type="dxa"/>
            <w:vMerge w:val="restart"/>
            <w:tcBorders>
              <w:top w:val="nil"/>
              <w:left w:val="single" w:color="000000" w:sz="4" w:space="0"/>
              <w:bottom w:val="nil"/>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w:t>
            </w:r>
          </w:p>
        </w:tc>
        <w:tc>
          <w:tcPr>
            <w:tcW w:w="749" w:type="dxa"/>
            <w:vMerge w:val="restart"/>
            <w:tcBorders>
              <w:top w:val="nil"/>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公司实力情况</w:t>
            </w:r>
          </w:p>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(15分）</w:t>
            </w:r>
          </w:p>
        </w:tc>
        <w:tc>
          <w:tcPr>
            <w:tcW w:w="761"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规模</w:t>
            </w:r>
          </w:p>
        </w:tc>
        <w:tc>
          <w:tcPr>
            <w:tcW w:w="775" w:type="dxa"/>
            <w:tcBorders>
              <w:top w:val="nil"/>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258"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公司规模大、中、小型。</w:t>
            </w:r>
          </w:p>
          <w:p>
            <w:pPr>
              <w:widowControl/>
              <w:jc w:val="left"/>
              <w:textAlignment w:val="center"/>
              <w:rPr>
                <w:rFonts w:ascii="仿宋_GB2312" w:hAnsi="宋体" w:eastAsia="仿宋_GB2312" w:cs="仿宋_GB2312"/>
                <w:color w:val="auto"/>
                <w:sz w:val="24"/>
              </w:rPr>
            </w:pPr>
          </w:p>
        </w:tc>
        <w:tc>
          <w:tcPr>
            <w:tcW w:w="5054" w:type="dxa"/>
            <w:tcBorders>
              <w:top w:val="nil"/>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大型5分，中型4分，小型2分。</w:t>
            </w:r>
          </w:p>
          <w:p>
            <w:pPr>
              <w:jc w:val="left"/>
              <w:rPr>
                <w:rFonts w:ascii="仿宋_GB2312" w:hAnsi="宋体" w:eastAsia="仿宋_GB2312" w:cs="仿宋_GB2312"/>
                <w:b/>
                <w:bCs/>
                <w:color w:val="auto"/>
                <w:sz w:val="24"/>
              </w:rPr>
            </w:pPr>
            <w:r>
              <w:rPr>
                <w:rFonts w:hint="eastAsia" w:ascii="仿宋_GB2312" w:hAnsi="宋体" w:eastAsia="仿宋_GB2312" w:cs="仿宋_GB2312"/>
                <w:color w:val="auto"/>
                <w:kern w:val="0"/>
                <w:sz w:val="24"/>
              </w:rPr>
              <w:t>备注：企业标准：年营业收入20000万元以上为大型，5000万元-20000万元为中型，5000万元以下为小型。</w:t>
            </w:r>
          </w:p>
        </w:tc>
      </w:tr>
      <w:tr>
        <w:tblPrEx>
          <w:tblCellMar>
            <w:top w:w="0" w:type="dxa"/>
            <w:left w:w="108" w:type="dxa"/>
            <w:bottom w:w="0" w:type="dxa"/>
            <w:right w:w="108" w:type="dxa"/>
          </w:tblCellMar>
        </w:tblPrEx>
        <w:trPr>
          <w:trHeight w:val="1088" w:hRule="atLeast"/>
        </w:trPr>
        <w:tc>
          <w:tcPr>
            <w:tcW w:w="355" w:type="dxa"/>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749"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61" w:type="dxa"/>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实地</w:t>
            </w:r>
          </w:p>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环境</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公司环境，企业文化，工作氛围等情况。</w:t>
            </w:r>
          </w:p>
          <w:p>
            <w:pPr>
              <w:widowControl/>
              <w:jc w:val="left"/>
              <w:textAlignment w:val="center"/>
              <w:rPr>
                <w:rFonts w:ascii="仿宋_GB2312" w:hAnsi="宋体" w:eastAsia="仿宋_GB2312" w:cs="仿宋_GB2312"/>
                <w:color w:val="auto"/>
                <w:sz w:val="24"/>
              </w:rPr>
            </w:pPr>
          </w:p>
        </w:tc>
        <w:tc>
          <w:tcPr>
            <w:tcW w:w="5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公司环境优美、工作氛围好、有良好的企业文化的得5分；一般的得2分；较差的不得分。</w:t>
            </w:r>
          </w:p>
        </w:tc>
      </w:tr>
      <w:tr>
        <w:tblPrEx>
          <w:tblCellMar>
            <w:top w:w="0" w:type="dxa"/>
            <w:left w:w="108" w:type="dxa"/>
            <w:bottom w:w="0" w:type="dxa"/>
            <w:right w:w="108" w:type="dxa"/>
          </w:tblCellMar>
        </w:tblPrEx>
        <w:trPr>
          <w:trHeight w:val="739" w:hRule="atLeast"/>
        </w:trPr>
        <w:tc>
          <w:tcPr>
            <w:tcW w:w="355" w:type="dxa"/>
            <w:vMerge w:val="continue"/>
            <w:tcBorders>
              <w:top w:val="nil"/>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749" w:type="dxa"/>
            <w:vMerge w:val="continue"/>
            <w:tcBorders>
              <w:top w:val="nil"/>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管理</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公司组织架构清晰，有明确的岗位分工和岗位职责。</w:t>
            </w:r>
          </w:p>
          <w:p>
            <w:pPr>
              <w:widowControl/>
              <w:jc w:val="left"/>
              <w:textAlignment w:val="center"/>
              <w:rPr>
                <w:rFonts w:ascii="仿宋_GB2312" w:hAnsi="宋体" w:eastAsia="仿宋_GB2312" w:cs="仿宋_GB2312"/>
                <w:color w:val="auto"/>
                <w:sz w:val="24"/>
              </w:rPr>
            </w:pPr>
          </w:p>
        </w:tc>
        <w:tc>
          <w:tcPr>
            <w:tcW w:w="5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组织架构清晰、制度职责健全完善的得5分；一般的得2分；较差的不得分。</w:t>
            </w:r>
          </w:p>
        </w:tc>
      </w:tr>
      <w:tr>
        <w:tblPrEx>
          <w:tblCellMar>
            <w:top w:w="0" w:type="dxa"/>
            <w:left w:w="108" w:type="dxa"/>
            <w:bottom w:w="0" w:type="dxa"/>
            <w:right w:w="108" w:type="dxa"/>
          </w:tblCellMar>
        </w:tblPrEx>
        <w:trPr>
          <w:trHeight w:val="797" w:hRule="atLeast"/>
        </w:trPr>
        <w:tc>
          <w:tcPr>
            <w:tcW w:w="355" w:type="dxa"/>
            <w:vMerge w:val="restart"/>
            <w:tcBorders>
              <w:top w:val="single" w:color="000000" w:sz="4" w:space="0"/>
              <w:left w:val="single" w:color="000000" w:sz="4" w:space="0"/>
              <w:bottom w:val="nil"/>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2</w:t>
            </w:r>
          </w:p>
        </w:tc>
        <w:tc>
          <w:tcPr>
            <w:tcW w:w="749"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合作</w:t>
            </w:r>
          </w:p>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能力</w:t>
            </w:r>
          </w:p>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（65分）</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供应能力</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1.能提供制剂用中药饮片品种数150种以上。</w:t>
            </w:r>
          </w:p>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2.货源充足、稳定，质量可控，中药饮片供应中有全省中药饮片质量居先的企业且供应单位数量适宜。</w:t>
            </w:r>
          </w:p>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3.有能在应急情况下满足中药饮片供应的能力。</w:t>
            </w:r>
          </w:p>
        </w:tc>
        <w:tc>
          <w:tcPr>
            <w:tcW w:w="5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每提供一项佐证材料的得5分。</w:t>
            </w:r>
          </w:p>
        </w:tc>
      </w:tr>
      <w:tr>
        <w:tblPrEx>
          <w:tblCellMar>
            <w:top w:w="0" w:type="dxa"/>
            <w:left w:w="108" w:type="dxa"/>
            <w:bottom w:w="0" w:type="dxa"/>
            <w:right w:w="108" w:type="dxa"/>
          </w:tblCellMar>
        </w:tblPrEx>
        <w:trPr>
          <w:trHeight w:val="929" w:hRule="atLeast"/>
        </w:trPr>
        <w:tc>
          <w:tcPr>
            <w:tcW w:w="35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7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61" w:type="dxa"/>
            <w:tcBorders>
              <w:top w:val="nil"/>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仓储管理</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10</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有健全的仓储管理制度、仓储品种、数量有一定规模。</w:t>
            </w:r>
          </w:p>
          <w:p>
            <w:pPr>
              <w:widowControl/>
              <w:jc w:val="left"/>
              <w:textAlignment w:val="center"/>
              <w:rPr>
                <w:rFonts w:ascii="仿宋_GB2312" w:hAnsi="宋体" w:eastAsia="仿宋_GB2312" w:cs="仿宋_GB2312"/>
                <w:color w:val="auto"/>
                <w:sz w:val="24"/>
              </w:rPr>
            </w:pP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有完善的规范的仓储管理制度及至少满足一年用量的得15分；规范管理制度较为完善及满足半年用量的得10分；无管理制度且储备空间较小的不得分。</w:t>
            </w:r>
          </w:p>
        </w:tc>
      </w:tr>
      <w:tr>
        <w:tblPrEx>
          <w:tblCellMar>
            <w:top w:w="0" w:type="dxa"/>
            <w:left w:w="108" w:type="dxa"/>
            <w:bottom w:w="0" w:type="dxa"/>
            <w:right w:w="108" w:type="dxa"/>
          </w:tblCellMar>
        </w:tblPrEx>
        <w:trPr>
          <w:trHeight w:val="890" w:hRule="atLeast"/>
        </w:trPr>
        <w:tc>
          <w:tcPr>
            <w:tcW w:w="35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7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服务能力</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10</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有健全的药品生产管理制度及生产团队，提供技术支持及咨询服务。</w:t>
            </w: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有完善的管理制度并配备充足的专业技术人员的得10分；管理制度较为完善，配备人员较为充足的得5分；无管理制度的不得分。</w:t>
            </w:r>
          </w:p>
        </w:tc>
      </w:tr>
      <w:tr>
        <w:tblPrEx>
          <w:tblCellMar>
            <w:top w:w="0" w:type="dxa"/>
            <w:left w:w="108" w:type="dxa"/>
            <w:bottom w:w="0" w:type="dxa"/>
            <w:right w:w="108" w:type="dxa"/>
          </w:tblCellMar>
        </w:tblPrEx>
        <w:trPr>
          <w:trHeight w:val="890" w:hRule="atLeast"/>
        </w:trPr>
        <w:tc>
          <w:tcPr>
            <w:tcW w:w="35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7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检验能力</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10</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sz w:val="24"/>
              </w:rPr>
              <w:t>有健全的药品检验制度及检验团队，提供技术支持及咨询服务。</w:t>
            </w: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有完善的药品检验制度及检验团队6人及以上的得10分；药品检验制度较为完善及检验团队3-5人的得5分；无制度或检验团队2人及以下不得分。</w:t>
            </w:r>
          </w:p>
        </w:tc>
      </w:tr>
      <w:tr>
        <w:tblPrEx>
          <w:tblCellMar>
            <w:top w:w="0" w:type="dxa"/>
            <w:left w:w="108" w:type="dxa"/>
            <w:bottom w:w="0" w:type="dxa"/>
            <w:right w:w="108" w:type="dxa"/>
          </w:tblCellMar>
        </w:tblPrEx>
        <w:trPr>
          <w:trHeight w:val="890" w:hRule="atLeast"/>
        </w:trPr>
        <w:tc>
          <w:tcPr>
            <w:tcW w:w="35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7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维保服务</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sz w:val="24"/>
              </w:rPr>
            </w:pPr>
            <w:r>
              <w:rPr>
                <w:rFonts w:hint="eastAsia" w:ascii="仿宋_GB2312" w:hAnsi="宋体" w:eastAsia="仿宋_GB2312" w:cs="仿宋_GB2312"/>
                <w:color w:val="auto"/>
                <w:sz w:val="24"/>
              </w:rPr>
              <w:t>有健全的设备维保方案及设备维保团队</w:t>
            </w:r>
            <w:r>
              <w:rPr>
                <w:rFonts w:hint="eastAsia" w:ascii="仿宋_GB2312" w:hAnsi="宋体" w:eastAsia="仿宋_GB2312" w:cs="仿宋_GB2312"/>
                <w:color w:val="auto"/>
                <w:kern w:val="0"/>
                <w:sz w:val="24"/>
              </w:rPr>
              <w:t>，及时处理设备故障，确保设备正常运转。</w:t>
            </w: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积极及时处理设备故障，能承诺承担设备维保、维修费用的得5分；不能承诺的不得分。</w:t>
            </w:r>
          </w:p>
        </w:tc>
      </w:tr>
      <w:tr>
        <w:tblPrEx>
          <w:tblCellMar>
            <w:top w:w="0" w:type="dxa"/>
            <w:left w:w="108" w:type="dxa"/>
            <w:bottom w:w="0" w:type="dxa"/>
            <w:right w:w="108" w:type="dxa"/>
          </w:tblCellMar>
        </w:tblPrEx>
        <w:trPr>
          <w:trHeight w:val="2359" w:hRule="atLeast"/>
        </w:trPr>
        <w:tc>
          <w:tcPr>
            <w:tcW w:w="355" w:type="dxa"/>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74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物流</w:t>
            </w:r>
          </w:p>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配送</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36" w:lineRule="auto"/>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有切实可行的物流配送制度，物流合作渠道多，有满足室内外配送需求的能力，能按照医院的要求配送至医院药房、调剂单位或委托配制单位。</w:t>
            </w:r>
          </w:p>
          <w:p>
            <w:pPr>
              <w:widowControl/>
              <w:jc w:val="left"/>
              <w:textAlignment w:val="center"/>
              <w:rPr>
                <w:rFonts w:ascii="仿宋_GB2312" w:hAnsi="宋体" w:eastAsia="仿宋_GB2312" w:cs="仿宋_GB2312"/>
                <w:color w:val="auto"/>
                <w:kern w:val="0"/>
                <w:sz w:val="24"/>
              </w:rPr>
            </w:pPr>
          </w:p>
          <w:p>
            <w:pPr>
              <w:widowControl/>
              <w:jc w:val="left"/>
              <w:textAlignment w:val="center"/>
              <w:rPr>
                <w:rFonts w:ascii="仿宋_GB2312" w:hAnsi="宋体" w:eastAsia="仿宋_GB2312" w:cs="仿宋_GB2312"/>
                <w:color w:val="auto"/>
                <w:sz w:val="24"/>
              </w:rPr>
            </w:pP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adjustRightInd w:val="0"/>
              <w:snapToGrid w:val="0"/>
              <w:spacing w:line="336" w:lineRule="auto"/>
              <w:rPr>
                <w:rFonts w:ascii="仿宋_GB2312" w:hAnsi="宋体" w:eastAsia="仿宋_GB2312" w:cs="仿宋_GB2312"/>
                <w:color w:val="auto"/>
                <w:sz w:val="24"/>
              </w:rPr>
            </w:pPr>
            <w:r>
              <w:rPr>
                <w:rFonts w:hint="eastAsia" w:ascii="仿宋_GB2312" w:hAnsi="宋体" w:eastAsia="仿宋_GB2312" w:cs="仿宋_GB2312"/>
                <w:color w:val="auto"/>
                <w:kern w:val="0"/>
                <w:sz w:val="24"/>
              </w:rPr>
              <w:t>配送制度健全完善，有固定的物流合作单位并自备本市配送车5辆以上得15分；配送制度较完善，有固定的物流合作单位并自备本市配送车3-4辆得10分；配送制度不完善，无固定物流合作单位或自备本市配送车不多于2辆不得分。</w:t>
            </w:r>
          </w:p>
        </w:tc>
      </w:tr>
      <w:tr>
        <w:tblPrEx>
          <w:tblCellMar>
            <w:top w:w="0" w:type="dxa"/>
            <w:left w:w="108" w:type="dxa"/>
            <w:bottom w:w="0" w:type="dxa"/>
            <w:right w:w="108" w:type="dxa"/>
          </w:tblCellMar>
        </w:tblPrEx>
        <w:trPr>
          <w:trHeight w:val="1048" w:hRule="atLeast"/>
        </w:trPr>
        <w:tc>
          <w:tcPr>
            <w:tcW w:w="35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3</w:t>
            </w:r>
          </w:p>
        </w:tc>
        <w:tc>
          <w:tcPr>
            <w:tcW w:w="749" w:type="dxa"/>
            <w:vMerge w:val="restart"/>
            <w:tcBorders>
              <w:top w:val="single" w:color="000000" w:sz="4" w:space="0"/>
              <w:left w:val="nil"/>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相关合作项目</w:t>
            </w:r>
          </w:p>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评价</w:t>
            </w:r>
          </w:p>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（20分）</w:t>
            </w:r>
          </w:p>
        </w:tc>
        <w:tc>
          <w:tcPr>
            <w:tcW w:w="76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运营情况</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合作项目运行情况。</w:t>
            </w:r>
          </w:p>
          <w:p>
            <w:pPr>
              <w:widowControl/>
              <w:jc w:val="left"/>
              <w:textAlignment w:val="center"/>
              <w:rPr>
                <w:rFonts w:ascii="仿宋_GB2312" w:hAnsi="宋体" w:eastAsia="仿宋_GB2312" w:cs="仿宋_GB2312"/>
                <w:color w:val="auto"/>
                <w:sz w:val="24"/>
              </w:rPr>
            </w:pP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能按要求高效开展业务的得5分；效率一般的得2分；业务不能很好开展的不得分。</w:t>
            </w:r>
          </w:p>
        </w:tc>
      </w:tr>
      <w:tr>
        <w:tblPrEx>
          <w:tblCellMar>
            <w:top w:w="0" w:type="dxa"/>
            <w:left w:w="108" w:type="dxa"/>
            <w:bottom w:w="0" w:type="dxa"/>
            <w:right w:w="108" w:type="dxa"/>
          </w:tblCellMar>
        </w:tblPrEx>
        <w:trPr>
          <w:trHeight w:val="1009" w:hRule="atLeast"/>
        </w:trPr>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749" w:type="dxa"/>
            <w:vMerge w:val="continue"/>
            <w:tcBorders>
              <w:top w:val="single" w:color="000000" w:sz="4" w:space="0"/>
              <w:left w:val="nil"/>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61" w:type="dxa"/>
            <w:vMerge w:val="restart"/>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质量方面</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合作期间相关业务是否满足相关行业标准。</w:t>
            </w:r>
          </w:p>
          <w:p>
            <w:pPr>
              <w:widowControl/>
              <w:jc w:val="left"/>
              <w:textAlignment w:val="center"/>
              <w:rPr>
                <w:rFonts w:ascii="仿宋_GB2312" w:hAnsi="宋体" w:eastAsia="仿宋_GB2312" w:cs="仿宋_GB2312"/>
                <w:color w:val="auto"/>
                <w:sz w:val="24"/>
              </w:rPr>
            </w:pP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能承诺保证业务活动符合相关行业标准的得5分；不能承诺的不得分。</w:t>
            </w:r>
          </w:p>
        </w:tc>
      </w:tr>
      <w:tr>
        <w:tblPrEx>
          <w:tblCellMar>
            <w:top w:w="0" w:type="dxa"/>
            <w:left w:w="108" w:type="dxa"/>
            <w:bottom w:w="0" w:type="dxa"/>
            <w:right w:w="108" w:type="dxa"/>
          </w:tblCellMar>
        </w:tblPrEx>
        <w:trPr>
          <w:trHeight w:val="663" w:hRule="atLeast"/>
        </w:trPr>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749" w:type="dxa"/>
            <w:vMerge w:val="continue"/>
            <w:tcBorders>
              <w:top w:val="single" w:color="000000" w:sz="4" w:space="0"/>
              <w:left w:val="nil"/>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61"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ascii="仿宋_GB2312" w:hAnsi="宋体" w:eastAsia="仿宋_GB2312" w:cs="仿宋_GB2312"/>
                <w:color w:val="auto"/>
                <w:sz w:val="24"/>
              </w:rPr>
            </w:pPr>
            <w:r>
              <w:rPr>
                <w:rFonts w:hint="eastAsia" w:ascii="仿宋_GB2312" w:hAnsi="宋体" w:eastAsia="仿宋_GB2312" w:cs="仿宋_GB2312"/>
                <w:color w:val="auto"/>
                <w:kern w:val="0"/>
                <w:sz w:val="24"/>
              </w:rPr>
              <w:t>制剂产品出现质量问题的情况。</w:t>
            </w: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保证制剂产品质量，能承诺承担因质量问题带来的投诉、报损等一切损失的得5分；不能承诺的不得分。</w:t>
            </w:r>
          </w:p>
        </w:tc>
      </w:tr>
      <w:tr>
        <w:tblPrEx>
          <w:tblCellMar>
            <w:top w:w="0" w:type="dxa"/>
            <w:left w:w="108" w:type="dxa"/>
            <w:bottom w:w="0" w:type="dxa"/>
            <w:right w:w="108" w:type="dxa"/>
          </w:tblCellMar>
        </w:tblPrEx>
        <w:trPr>
          <w:trHeight w:val="849" w:hRule="atLeast"/>
        </w:trPr>
        <w:tc>
          <w:tcPr>
            <w:tcW w:w="35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p>
        </w:tc>
        <w:tc>
          <w:tcPr>
            <w:tcW w:w="749" w:type="dxa"/>
            <w:vMerge w:val="continue"/>
            <w:tcBorders>
              <w:top w:val="single" w:color="000000" w:sz="4" w:space="0"/>
              <w:left w:val="nil"/>
              <w:bottom w:val="nil"/>
              <w:right w:val="single" w:color="000000" w:sz="4" w:space="0"/>
            </w:tcBorders>
            <w:shd w:val="clear" w:color="auto" w:fill="auto"/>
            <w:vAlign w:val="center"/>
          </w:tcPr>
          <w:p>
            <w:pPr>
              <w:jc w:val="center"/>
              <w:rPr>
                <w:rFonts w:ascii="仿宋_GB2312" w:hAnsi="宋体" w:eastAsia="仿宋_GB2312" w:cs="仿宋_GB2312"/>
                <w:color w:val="auto"/>
                <w:sz w:val="24"/>
              </w:rPr>
            </w:pPr>
          </w:p>
        </w:tc>
        <w:tc>
          <w:tcPr>
            <w:tcW w:w="761" w:type="dxa"/>
            <w:tcBorders>
              <w:top w:val="single" w:color="000000" w:sz="4" w:space="0"/>
              <w:left w:val="single" w:color="000000" w:sz="4" w:space="0"/>
              <w:bottom w:val="nil"/>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满意度</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5</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_GB2312" w:hAnsi="宋体" w:eastAsia="仿宋_GB2312" w:cs="仿宋_GB2312"/>
                <w:color w:val="auto"/>
                <w:kern w:val="0"/>
                <w:sz w:val="24"/>
              </w:rPr>
            </w:pPr>
            <w:r>
              <w:rPr>
                <w:rFonts w:hint="eastAsia" w:ascii="仿宋_GB2312" w:hAnsi="宋体" w:eastAsia="仿宋_GB2312" w:cs="仿宋_GB2312"/>
                <w:color w:val="auto"/>
                <w:kern w:val="0"/>
                <w:sz w:val="24"/>
              </w:rPr>
              <w:t>对服务人员、团队等的评价。</w:t>
            </w:r>
          </w:p>
          <w:p>
            <w:pPr>
              <w:widowControl/>
              <w:jc w:val="left"/>
              <w:textAlignment w:val="center"/>
              <w:rPr>
                <w:rFonts w:ascii="仿宋_GB2312" w:hAnsi="宋体" w:eastAsia="仿宋_GB2312" w:cs="仿宋_GB2312"/>
                <w:color w:val="auto"/>
                <w:sz w:val="24"/>
              </w:rPr>
            </w:pP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仿宋_GB2312" w:hAnsi="宋体" w:eastAsia="仿宋_GB2312" w:cs="仿宋_GB2312"/>
                <w:color w:val="auto"/>
                <w:sz w:val="24"/>
              </w:rPr>
            </w:pPr>
            <w:r>
              <w:rPr>
                <w:rFonts w:hint="eastAsia" w:ascii="仿宋_GB2312" w:hAnsi="宋体" w:eastAsia="仿宋_GB2312" w:cs="仿宋_GB2312"/>
                <w:color w:val="auto"/>
                <w:kern w:val="0"/>
                <w:sz w:val="24"/>
              </w:rPr>
              <w:t>非常满意的得5分，一般的得2分，不满意的不得分。</w:t>
            </w:r>
          </w:p>
        </w:tc>
      </w:tr>
      <w:tr>
        <w:tblPrEx>
          <w:tblCellMar>
            <w:top w:w="0" w:type="dxa"/>
            <w:left w:w="108" w:type="dxa"/>
            <w:bottom w:w="0" w:type="dxa"/>
            <w:right w:w="108" w:type="dxa"/>
          </w:tblCellMar>
        </w:tblPrEx>
        <w:trPr>
          <w:trHeight w:val="295" w:hRule="atLeast"/>
        </w:trPr>
        <w:tc>
          <w:tcPr>
            <w:tcW w:w="186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合计</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_GB2312" w:hAnsi="宋体" w:eastAsia="仿宋_GB2312" w:cs="仿宋_GB2312"/>
                <w:color w:val="auto"/>
                <w:sz w:val="24"/>
              </w:rPr>
            </w:pPr>
            <w:r>
              <w:rPr>
                <w:rFonts w:hint="eastAsia" w:ascii="仿宋_GB2312" w:hAnsi="宋体" w:eastAsia="仿宋_GB2312" w:cs="仿宋_GB2312"/>
                <w:color w:val="auto"/>
                <w:kern w:val="0"/>
                <w:sz w:val="24"/>
              </w:rPr>
              <w:t>100</w:t>
            </w:r>
          </w:p>
        </w:tc>
        <w:tc>
          <w:tcPr>
            <w:tcW w:w="625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仿宋_GB2312" w:hAnsi="宋体" w:eastAsia="仿宋_GB2312" w:cs="仿宋_GB2312"/>
                <w:color w:val="auto"/>
                <w:sz w:val="24"/>
              </w:rPr>
            </w:pPr>
          </w:p>
        </w:tc>
        <w:tc>
          <w:tcPr>
            <w:tcW w:w="505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宋体" w:eastAsia="仿宋_GB2312" w:cs="仿宋_GB2312"/>
                <w:color w:val="auto"/>
                <w:sz w:val="24"/>
              </w:rPr>
            </w:pPr>
          </w:p>
        </w:tc>
      </w:tr>
      <w:tr>
        <w:tblPrEx>
          <w:tblCellMar>
            <w:top w:w="0" w:type="dxa"/>
            <w:left w:w="108" w:type="dxa"/>
            <w:bottom w:w="0" w:type="dxa"/>
            <w:right w:w="108" w:type="dxa"/>
          </w:tblCellMar>
        </w:tblPrEx>
        <w:trPr>
          <w:trHeight w:val="697" w:hRule="atLeast"/>
        </w:trPr>
        <w:tc>
          <w:tcPr>
            <w:tcW w:w="13952"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宋体" w:eastAsia="仿宋_GB2312" w:cs="仿宋_GB2312"/>
                <w:color w:val="auto"/>
                <w:sz w:val="24"/>
              </w:rPr>
            </w:pPr>
            <w:r>
              <w:rPr>
                <w:rFonts w:hint="eastAsia" w:ascii="仿宋_GB2312" w:hAnsi="宋体" w:eastAsia="仿宋_GB2312" w:cs="仿宋_GB2312"/>
                <w:b/>
                <w:bCs/>
                <w:color w:val="auto"/>
                <w:kern w:val="0"/>
                <w:sz w:val="24"/>
              </w:rPr>
              <w:t>备注：请各单位按照以上内容制作合作方案，能满足承诺事项要求的，请对应提供承诺说明并加盖公章。</w:t>
            </w:r>
          </w:p>
        </w:tc>
      </w:tr>
    </w:tbl>
    <w:p>
      <w:pPr>
        <w:pStyle w:val="3"/>
        <w:ind w:firstLine="210"/>
        <w:rPr>
          <w:color w:val="auto"/>
        </w:rPr>
      </w:pPr>
    </w:p>
    <w:p>
      <w:pPr>
        <w:pStyle w:val="2"/>
        <w:rPr>
          <w:color w:val="auto"/>
        </w:rPr>
        <w:sectPr>
          <w:footerReference r:id="rId4" w:type="default"/>
          <w:pgSz w:w="16838" w:h="11906" w:orient="landscape"/>
          <w:pgMar w:top="1531" w:right="1440" w:bottom="1361" w:left="1440" w:header="851" w:footer="992" w:gutter="0"/>
          <w:cols w:space="0" w:num="1"/>
          <w:docGrid w:type="lines" w:linePitch="321" w:charSpace="0"/>
        </w:sectPr>
      </w:pPr>
    </w:p>
    <w:p>
      <w:pPr>
        <w:ind w:firstLine="640" w:firstLineChars="200"/>
        <w:rPr>
          <w:rFonts w:ascii="仿宋_GB2312" w:eastAsia="仿宋_GB2312"/>
          <w:color w:val="auto"/>
          <w:sz w:val="32"/>
          <w:szCs w:val="32"/>
        </w:rPr>
      </w:pPr>
    </w:p>
    <w:sectPr>
      <w:pgSz w:w="11906" w:h="16838"/>
      <w:pgMar w:top="1440" w:right="1361" w:bottom="1440" w:left="1531"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M6pebnPAAAABQEAAA8AAAAA&#10;AAAAAQAgAAAAIgAAAGRycy9kb3ducmV2LnhtbFBLAQIUABQAAAAIAIdO4kCl3XLKqwEAAE0DAAAO&#10;AAAAAAAAAAEAIAAAAB4BAABkcnMvZTJvRG9jLnhtbFBLBQYAAAAABgAGAFkBAAA7BQAAAAA=&#10;">
          <v:path/>
          <v:fill on="f" focussize="0,0"/>
          <v:stroke on="f" joinstyle="miter"/>
          <v:imagedata o:title=""/>
          <o:lock v:ext="edit"/>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4098" o:spid="_x0000_s4098"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DOqXm5zwAAAAUBAAAPAAAAAAAAAAEA&#10;IAAAACIAAABkcnMvZG93bnJldi54bWxQSwECFAAUAAAACACHTuJAIZKpRaYBAAA/AwAADgAAAAAA&#10;AAABACAAAAAeAQAAZHJzL2Uyb0RvYy54bWxQSwUGAAAAAAYABgBZAQAANgUAAAAA&#10;">
          <v:path/>
          <v:fill on="f" focussize="0,0"/>
          <v:stroke on="f" joinstyle="miter"/>
          <v:imagedata o:title=""/>
          <o:lock v:ext="edit"/>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47DC67"/>
    <w:multiLevelType w:val="singleLevel"/>
    <w:tmpl w:val="8647DC67"/>
    <w:lvl w:ilvl="0" w:tentative="0">
      <w:start w:val="5"/>
      <w:numFmt w:val="chineseCounting"/>
      <w:suff w:val="space"/>
      <w:lvlText w:val="第%1条"/>
      <w:lvlJc w:val="left"/>
      <w:rPr>
        <w:rFonts w:hint="eastAsia"/>
      </w:rPr>
    </w:lvl>
  </w:abstractNum>
  <w:abstractNum w:abstractNumId="1">
    <w:nsid w:val="8C3969A4"/>
    <w:multiLevelType w:val="singleLevel"/>
    <w:tmpl w:val="8C3969A4"/>
    <w:lvl w:ilvl="0" w:tentative="0">
      <w:start w:val="2"/>
      <w:numFmt w:val="chineseCounting"/>
      <w:suff w:val="nothing"/>
      <w:lvlText w:val="（%1）"/>
      <w:lvlJc w:val="left"/>
      <w:rPr>
        <w:rFonts w:hint="eastAsia"/>
      </w:rPr>
    </w:lvl>
  </w:abstractNum>
  <w:abstractNum w:abstractNumId="2">
    <w:nsid w:val="983939ED"/>
    <w:multiLevelType w:val="singleLevel"/>
    <w:tmpl w:val="983939ED"/>
    <w:lvl w:ilvl="0" w:tentative="0">
      <w:start w:val="1"/>
      <w:numFmt w:val="chineseCounting"/>
      <w:suff w:val="space"/>
      <w:lvlText w:val="第%1条"/>
      <w:lvlJc w:val="left"/>
      <w:rPr>
        <w:rFonts w:hint="eastAsia"/>
      </w:rPr>
    </w:lvl>
  </w:abstractNum>
  <w:abstractNum w:abstractNumId="3">
    <w:nsid w:val="F564064A"/>
    <w:multiLevelType w:val="singleLevel"/>
    <w:tmpl w:val="F564064A"/>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HorizontalSpacing w:val="107"/>
  <w:drawingGridVerticalSpacing w:val="160"/>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Q5YWM4NzI4ZmIxYzMyZWJlZGE4N2YyODhlMmViNDQifQ=="/>
  </w:docVars>
  <w:rsids>
    <w:rsidRoot w:val="003A69E0"/>
    <w:rsid w:val="00047400"/>
    <w:rsid w:val="000623AB"/>
    <w:rsid w:val="000B7DBD"/>
    <w:rsid w:val="000D6586"/>
    <w:rsid w:val="00121363"/>
    <w:rsid w:val="001279D2"/>
    <w:rsid w:val="0013411A"/>
    <w:rsid w:val="00134BD2"/>
    <w:rsid w:val="00141D17"/>
    <w:rsid w:val="001B473F"/>
    <w:rsid w:val="001D79C9"/>
    <w:rsid w:val="00205E7C"/>
    <w:rsid w:val="002D50BB"/>
    <w:rsid w:val="002F7498"/>
    <w:rsid w:val="00334EF0"/>
    <w:rsid w:val="00363951"/>
    <w:rsid w:val="003A419B"/>
    <w:rsid w:val="003A5FF5"/>
    <w:rsid w:val="003A69E0"/>
    <w:rsid w:val="003E4590"/>
    <w:rsid w:val="003F59C4"/>
    <w:rsid w:val="003F6DF9"/>
    <w:rsid w:val="0040250E"/>
    <w:rsid w:val="00475C59"/>
    <w:rsid w:val="00495752"/>
    <w:rsid w:val="00551CD8"/>
    <w:rsid w:val="00561EBD"/>
    <w:rsid w:val="006135A0"/>
    <w:rsid w:val="00614F33"/>
    <w:rsid w:val="00644B22"/>
    <w:rsid w:val="006D31B9"/>
    <w:rsid w:val="006E28B3"/>
    <w:rsid w:val="006F6FBD"/>
    <w:rsid w:val="00704E5D"/>
    <w:rsid w:val="00726BB6"/>
    <w:rsid w:val="00730C09"/>
    <w:rsid w:val="00741708"/>
    <w:rsid w:val="00792135"/>
    <w:rsid w:val="007F30DF"/>
    <w:rsid w:val="0087689F"/>
    <w:rsid w:val="00877B70"/>
    <w:rsid w:val="00886E30"/>
    <w:rsid w:val="00897354"/>
    <w:rsid w:val="008B7B3D"/>
    <w:rsid w:val="008E18BF"/>
    <w:rsid w:val="00951179"/>
    <w:rsid w:val="00962623"/>
    <w:rsid w:val="00A01F3F"/>
    <w:rsid w:val="00A35F8A"/>
    <w:rsid w:val="00A41720"/>
    <w:rsid w:val="00AB11AF"/>
    <w:rsid w:val="00AB2CF7"/>
    <w:rsid w:val="00BA4003"/>
    <w:rsid w:val="00BD607F"/>
    <w:rsid w:val="00BE279C"/>
    <w:rsid w:val="00BF0E7F"/>
    <w:rsid w:val="00BF7E90"/>
    <w:rsid w:val="00CA072C"/>
    <w:rsid w:val="00CA6EB6"/>
    <w:rsid w:val="00CD7647"/>
    <w:rsid w:val="00D2040E"/>
    <w:rsid w:val="00DA251D"/>
    <w:rsid w:val="00E11AE4"/>
    <w:rsid w:val="00E46BC5"/>
    <w:rsid w:val="00E53675"/>
    <w:rsid w:val="00E9163B"/>
    <w:rsid w:val="00F24B4E"/>
    <w:rsid w:val="00F6516F"/>
    <w:rsid w:val="00FD093E"/>
    <w:rsid w:val="027653BD"/>
    <w:rsid w:val="02EF1E8A"/>
    <w:rsid w:val="056049D7"/>
    <w:rsid w:val="06AB633C"/>
    <w:rsid w:val="07005F5A"/>
    <w:rsid w:val="099E72D3"/>
    <w:rsid w:val="0AFC29D3"/>
    <w:rsid w:val="0C17087C"/>
    <w:rsid w:val="0C23034C"/>
    <w:rsid w:val="10354A58"/>
    <w:rsid w:val="10E414E5"/>
    <w:rsid w:val="11B247F8"/>
    <w:rsid w:val="12A34CBE"/>
    <w:rsid w:val="1309102C"/>
    <w:rsid w:val="13113593"/>
    <w:rsid w:val="135062AE"/>
    <w:rsid w:val="145C3BF8"/>
    <w:rsid w:val="19880E9D"/>
    <w:rsid w:val="19BA35E6"/>
    <w:rsid w:val="1AC96CA9"/>
    <w:rsid w:val="1B181B29"/>
    <w:rsid w:val="1CA17276"/>
    <w:rsid w:val="1CFB79D4"/>
    <w:rsid w:val="1D587697"/>
    <w:rsid w:val="1DF12762"/>
    <w:rsid w:val="1F306502"/>
    <w:rsid w:val="1F6075D1"/>
    <w:rsid w:val="1F695F9D"/>
    <w:rsid w:val="1F94269B"/>
    <w:rsid w:val="231F086A"/>
    <w:rsid w:val="236F250E"/>
    <w:rsid w:val="24713535"/>
    <w:rsid w:val="24B6761D"/>
    <w:rsid w:val="253A2CC9"/>
    <w:rsid w:val="25BE0427"/>
    <w:rsid w:val="268E670F"/>
    <w:rsid w:val="28D24097"/>
    <w:rsid w:val="2A500BB0"/>
    <w:rsid w:val="2AF05EF0"/>
    <w:rsid w:val="2C150F73"/>
    <w:rsid w:val="2D334D05"/>
    <w:rsid w:val="2D704003"/>
    <w:rsid w:val="2E301774"/>
    <w:rsid w:val="340A2710"/>
    <w:rsid w:val="39004F60"/>
    <w:rsid w:val="3B3F0B58"/>
    <w:rsid w:val="3BFD5DEC"/>
    <w:rsid w:val="3D0C0E7A"/>
    <w:rsid w:val="3D7A6218"/>
    <w:rsid w:val="3E7B7B93"/>
    <w:rsid w:val="3E932EDB"/>
    <w:rsid w:val="3F0911FD"/>
    <w:rsid w:val="405E03F1"/>
    <w:rsid w:val="40813CC1"/>
    <w:rsid w:val="415B7AF2"/>
    <w:rsid w:val="461021A0"/>
    <w:rsid w:val="461A61F0"/>
    <w:rsid w:val="47A92A27"/>
    <w:rsid w:val="49D405C7"/>
    <w:rsid w:val="4C2917A9"/>
    <w:rsid w:val="4D0A0CFE"/>
    <w:rsid w:val="4D205520"/>
    <w:rsid w:val="4DEB42A3"/>
    <w:rsid w:val="4E160E15"/>
    <w:rsid w:val="4F133A9A"/>
    <w:rsid w:val="50A80B97"/>
    <w:rsid w:val="51AD267E"/>
    <w:rsid w:val="53FE4560"/>
    <w:rsid w:val="54D704BB"/>
    <w:rsid w:val="551B6714"/>
    <w:rsid w:val="56246877"/>
    <w:rsid w:val="5807094B"/>
    <w:rsid w:val="5B750142"/>
    <w:rsid w:val="5D350B48"/>
    <w:rsid w:val="5D913D4C"/>
    <w:rsid w:val="5E76681C"/>
    <w:rsid w:val="5FBD6323"/>
    <w:rsid w:val="5FD30F70"/>
    <w:rsid w:val="600E0D6D"/>
    <w:rsid w:val="608F7EAC"/>
    <w:rsid w:val="62365848"/>
    <w:rsid w:val="62530DB2"/>
    <w:rsid w:val="64645D78"/>
    <w:rsid w:val="64A47615"/>
    <w:rsid w:val="65AB2A81"/>
    <w:rsid w:val="66AF0476"/>
    <w:rsid w:val="68DC5FC2"/>
    <w:rsid w:val="693E1D27"/>
    <w:rsid w:val="69EF48E7"/>
    <w:rsid w:val="69FD0520"/>
    <w:rsid w:val="6E2650CA"/>
    <w:rsid w:val="6E9771B9"/>
    <w:rsid w:val="6EC35EBA"/>
    <w:rsid w:val="6F8C7C57"/>
    <w:rsid w:val="6FDA75D2"/>
    <w:rsid w:val="70003C32"/>
    <w:rsid w:val="70BB2335"/>
    <w:rsid w:val="731D5C2C"/>
    <w:rsid w:val="745377B9"/>
    <w:rsid w:val="745A21E7"/>
    <w:rsid w:val="75CB72CD"/>
    <w:rsid w:val="79551670"/>
    <w:rsid w:val="79DB60AD"/>
    <w:rsid w:val="7A7B6B64"/>
    <w:rsid w:val="7CF41DA9"/>
    <w:rsid w:val="7D8A6028"/>
    <w:rsid w:val="7E061D45"/>
    <w:rsid w:val="7F6662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qFormat/>
    <w:uiPriority w:val="99"/>
    <w:pPr>
      <w:ind w:firstLine="420" w:firstLineChars="100"/>
    </w:pPr>
  </w:style>
  <w:style w:type="paragraph" w:styleId="5">
    <w:name w:val="index 5"/>
    <w:basedOn w:val="1"/>
    <w:next w:val="1"/>
    <w:qFormat/>
    <w:uiPriority w:val="0"/>
    <w:pPr>
      <w:ind w:left="1680"/>
    </w:pPr>
  </w:style>
  <w:style w:type="paragraph" w:styleId="6">
    <w:name w:val="annotation text"/>
    <w:basedOn w:val="1"/>
    <w:qFormat/>
    <w:uiPriority w:val="99"/>
    <w:pPr>
      <w:jc w:val="left"/>
    </w:pPr>
  </w:style>
  <w:style w:type="paragraph" w:styleId="7">
    <w:name w:val="Salutation"/>
    <w:basedOn w:val="1"/>
    <w:next w:val="1"/>
    <w:qFormat/>
    <w:uiPriority w:val="99"/>
    <w:rPr>
      <w:rFonts w:ascii="Calibri" w:hAnsi="Calibri" w:eastAsia="仿宋"/>
      <w:sz w:val="32"/>
    </w:rPr>
  </w:style>
  <w:style w:type="paragraph" w:styleId="8">
    <w:name w:val="Body Text Indent"/>
    <w:basedOn w:val="1"/>
    <w:qFormat/>
    <w:uiPriority w:val="0"/>
    <w:pPr>
      <w:spacing w:line="640" w:lineRule="exact"/>
      <w:ind w:firstLine="573"/>
    </w:pPr>
    <w:rPr>
      <w:rFonts w:ascii="宋体"/>
      <w:sz w:val="28"/>
    </w:rPr>
  </w:style>
  <w:style w:type="paragraph" w:styleId="9">
    <w:name w:val="Plain Text"/>
    <w:basedOn w:val="1"/>
    <w:qFormat/>
    <w:uiPriority w:val="0"/>
    <w:rPr>
      <w:rFonts w:hint="eastAsia" w:ascii="宋体" w:hAnsi="Courier New" w:cs="Courier New"/>
      <w:spacing w:val="10"/>
      <w:szCs w:val="21"/>
    </w:rPr>
  </w:style>
  <w:style w:type="paragraph" w:styleId="10">
    <w:name w:val="Date"/>
    <w:basedOn w:val="1"/>
    <w:next w:val="1"/>
    <w:link w:val="51"/>
    <w:qFormat/>
    <w:uiPriority w:val="0"/>
    <w:pPr>
      <w:ind w:left="100" w:leftChars="2500"/>
    </w:pPr>
  </w:style>
  <w:style w:type="paragraph" w:styleId="11">
    <w:name w:val="Balloon Text"/>
    <w:basedOn w:val="1"/>
    <w:link w:val="35"/>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5">
    <w:name w:val="table of figures"/>
    <w:basedOn w:val="1"/>
    <w:next w:val="1"/>
    <w:qFormat/>
    <w:uiPriority w:val="0"/>
    <w:pPr>
      <w:ind w:left="200" w:leftChars="200" w:hanging="200" w:hangingChars="200"/>
    </w:pPr>
    <w:rPr>
      <w:sz w:val="32"/>
    </w:rPr>
  </w:style>
  <w:style w:type="paragraph" w:styleId="16">
    <w:name w:val="Body Text 2"/>
    <w:basedOn w:val="1"/>
    <w:qFormat/>
    <w:uiPriority w:val="0"/>
    <w:rPr>
      <w:rFonts w:ascii="仿宋_GB2312" w:eastAsia="仿宋_GB2312"/>
      <w:b/>
      <w:bCs/>
      <w:sz w:val="44"/>
      <w:szCs w:val="22"/>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spacing w:before="480" w:after="300"/>
      <w:jc w:val="left"/>
      <w:outlineLvl w:val="0"/>
    </w:pPr>
    <w:rPr>
      <w:rFonts w:ascii="Cambria" w:hAnsi="Cambria" w:eastAsia="仿宋"/>
      <w:b/>
      <w:bCs/>
      <w:sz w:val="32"/>
      <w:szCs w:val="32"/>
    </w:rPr>
  </w:style>
  <w:style w:type="paragraph" w:styleId="19">
    <w:name w:val="Body Text First Indent 2"/>
    <w:basedOn w:val="8"/>
    <w:qFormat/>
    <w:uiPriority w:val="0"/>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page number"/>
    <w:basedOn w:val="22"/>
    <w:qFormat/>
    <w:uiPriority w:val="0"/>
  </w:style>
  <w:style w:type="character" w:styleId="25">
    <w:name w:val="annotation reference"/>
    <w:basedOn w:val="22"/>
    <w:qFormat/>
    <w:uiPriority w:val="0"/>
    <w:rPr>
      <w:sz w:val="21"/>
      <w:szCs w:val="21"/>
    </w:rPr>
  </w:style>
  <w:style w:type="paragraph" w:customStyle="1" w:styleId="26">
    <w:name w:val="Index5"/>
    <w:basedOn w:val="1"/>
    <w:next w:val="1"/>
    <w:qFormat/>
    <w:uiPriority w:val="99"/>
    <w:pPr>
      <w:ind w:left="1680"/>
    </w:pPr>
  </w:style>
  <w:style w:type="paragraph" w:customStyle="1" w:styleId="2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28">
    <w:name w:val="Table of Figures1"/>
    <w:basedOn w:val="1"/>
    <w:next w:val="1"/>
    <w:qFormat/>
    <w:uiPriority w:val="99"/>
    <w:pPr>
      <w:ind w:left="200" w:leftChars="200" w:hanging="200" w:hangingChars="200"/>
    </w:pPr>
  </w:style>
  <w:style w:type="paragraph" w:customStyle="1" w:styleId="29">
    <w:name w:val="普通(网站)1"/>
    <w:basedOn w:val="1"/>
    <w:qFormat/>
    <w:uiPriority w:val="0"/>
    <w:pPr>
      <w:widowControl/>
      <w:spacing w:before="100" w:beforeAutospacing="1" w:after="100" w:afterAutospacing="1"/>
      <w:jc w:val="left"/>
    </w:pPr>
    <w:rPr>
      <w:rFonts w:ascii="Arial Unicode MS" w:hAnsi="Arial Unicode MS" w:cs="Arial Unicode MS"/>
      <w:kern w:val="0"/>
      <w:sz w:val="24"/>
      <w:lang w:eastAsia="en-US"/>
    </w:rPr>
  </w:style>
  <w:style w:type="paragraph" w:styleId="30">
    <w:name w:val="List Paragraph"/>
    <w:basedOn w:val="1"/>
    <w:qFormat/>
    <w:uiPriority w:val="34"/>
    <w:pPr>
      <w:ind w:firstLine="420" w:firstLineChars="200"/>
    </w:pPr>
  </w:style>
  <w:style w:type="character" w:customStyle="1" w:styleId="31">
    <w:name w:val="font41"/>
    <w:basedOn w:val="22"/>
    <w:qFormat/>
    <w:uiPriority w:val="0"/>
    <w:rPr>
      <w:rFonts w:hint="eastAsia" w:ascii="仿宋" w:hAnsi="仿宋" w:eastAsia="仿宋" w:cs="仿宋"/>
      <w:b/>
      <w:color w:val="000000"/>
      <w:sz w:val="15"/>
      <w:szCs w:val="15"/>
      <w:u w:val="none"/>
    </w:rPr>
  </w:style>
  <w:style w:type="character" w:customStyle="1" w:styleId="32">
    <w:name w:val="font11"/>
    <w:basedOn w:val="22"/>
    <w:qFormat/>
    <w:uiPriority w:val="0"/>
    <w:rPr>
      <w:rFonts w:hint="eastAsia" w:ascii="仿宋" w:hAnsi="仿宋" w:eastAsia="仿宋" w:cs="仿宋"/>
      <w:b/>
      <w:color w:val="000000"/>
      <w:sz w:val="15"/>
      <w:szCs w:val="15"/>
      <w:u w:val="none"/>
      <w:vertAlign w:val="superscript"/>
    </w:rPr>
  </w:style>
  <w:style w:type="character" w:customStyle="1" w:styleId="33">
    <w:name w:val="font31"/>
    <w:basedOn w:val="22"/>
    <w:qFormat/>
    <w:uiPriority w:val="0"/>
    <w:rPr>
      <w:rFonts w:hint="eastAsia" w:ascii="仿宋" w:hAnsi="仿宋" w:eastAsia="仿宋" w:cs="仿宋"/>
      <w:b/>
      <w:color w:val="000000"/>
      <w:sz w:val="15"/>
      <w:szCs w:val="15"/>
      <w:u w:val="none"/>
    </w:rPr>
  </w:style>
  <w:style w:type="character" w:customStyle="1" w:styleId="34">
    <w:name w:val="font01"/>
    <w:basedOn w:val="22"/>
    <w:qFormat/>
    <w:uiPriority w:val="0"/>
    <w:rPr>
      <w:rFonts w:hint="eastAsia" w:ascii="仿宋" w:hAnsi="仿宋" w:eastAsia="仿宋" w:cs="仿宋"/>
      <w:b/>
      <w:color w:val="000000"/>
      <w:sz w:val="15"/>
      <w:szCs w:val="15"/>
      <w:u w:val="none"/>
      <w:vertAlign w:val="superscript"/>
    </w:rPr>
  </w:style>
  <w:style w:type="character" w:customStyle="1" w:styleId="35">
    <w:name w:val="批注框文本 Char"/>
    <w:basedOn w:val="22"/>
    <w:link w:val="11"/>
    <w:qFormat/>
    <w:uiPriority w:val="0"/>
    <w:rPr>
      <w:kern w:val="2"/>
      <w:sz w:val="18"/>
      <w:szCs w:val="18"/>
    </w:rPr>
  </w:style>
  <w:style w:type="character" w:customStyle="1" w:styleId="36">
    <w:name w:val="font61"/>
    <w:basedOn w:val="22"/>
    <w:qFormat/>
    <w:uiPriority w:val="0"/>
    <w:rPr>
      <w:rFonts w:hint="eastAsia" w:ascii="宋体" w:hAnsi="宋体" w:eastAsia="宋体" w:cs="宋体"/>
      <w:b/>
      <w:color w:val="000000"/>
      <w:sz w:val="20"/>
      <w:szCs w:val="20"/>
      <w:u w:val="single"/>
    </w:rPr>
  </w:style>
  <w:style w:type="table" w:customStyle="1" w:styleId="37">
    <w:name w:val="tabList"/>
    <w:basedOn w:val="20"/>
    <w:qFormat/>
    <w:uiPriority w:val="0"/>
  </w:style>
  <w:style w:type="character" w:customStyle="1" w:styleId="38">
    <w:name w:val="font21"/>
    <w:basedOn w:val="22"/>
    <w:qFormat/>
    <w:uiPriority w:val="0"/>
    <w:rPr>
      <w:rFonts w:hint="eastAsia" w:ascii="宋体" w:hAnsi="宋体" w:eastAsia="宋体" w:cs="宋体"/>
      <w:color w:val="FF0000"/>
      <w:sz w:val="22"/>
      <w:szCs w:val="22"/>
      <w:u w:val="none"/>
    </w:rPr>
  </w:style>
  <w:style w:type="character" w:customStyle="1" w:styleId="39">
    <w:name w:val="font51"/>
    <w:basedOn w:val="22"/>
    <w:qFormat/>
    <w:uiPriority w:val="0"/>
    <w:rPr>
      <w:rFonts w:hint="eastAsia" w:ascii="宋体" w:hAnsi="宋体" w:eastAsia="宋体" w:cs="宋体"/>
      <w:b/>
      <w:bCs/>
      <w:color w:val="000000"/>
      <w:sz w:val="20"/>
      <w:szCs w:val="20"/>
      <w:u w:val="none"/>
    </w:rPr>
  </w:style>
  <w:style w:type="character" w:customStyle="1" w:styleId="40">
    <w:name w:val="NormalCharacter"/>
    <w:qFormat/>
    <w:uiPriority w:val="0"/>
    <w:rPr>
      <w:rFonts w:ascii="Times New Roman" w:hAnsi="Times New Roman" w:eastAsia="宋体" w:cs="Times New Roman"/>
      <w:kern w:val="2"/>
      <w:sz w:val="21"/>
      <w:szCs w:val="24"/>
      <w:lang w:val="en-US" w:eastAsia="zh-CN" w:bidi="ar-SA"/>
    </w:rPr>
  </w:style>
  <w:style w:type="paragraph" w:customStyle="1" w:styleId="41">
    <w:name w:val="样式 首行缩进:  2 字符"/>
    <w:basedOn w:val="1"/>
    <w:qFormat/>
    <w:uiPriority w:val="0"/>
    <w:pPr>
      <w:widowControl/>
      <w:spacing w:line="400" w:lineRule="exact"/>
      <w:ind w:firstLine="200" w:firstLineChars="200"/>
      <w:jc w:val="left"/>
    </w:pPr>
    <w:rPr>
      <w:rFonts w:ascii="Calibri" w:hAnsi="Calibri" w:cs="宋体"/>
      <w:kern w:val="0"/>
      <w:sz w:val="24"/>
      <w:lang w:eastAsia="en-US"/>
    </w:rPr>
  </w:style>
  <w:style w:type="paragraph" w:customStyle="1" w:styleId="42">
    <w:name w:val="txt"/>
    <w:basedOn w:val="1"/>
    <w:qFormat/>
    <w:uiPriority w:val="99"/>
    <w:pPr>
      <w:widowControl/>
      <w:spacing w:before="100" w:beforeAutospacing="1" w:after="100" w:afterAutospacing="1"/>
      <w:jc w:val="left"/>
    </w:pPr>
    <w:rPr>
      <w:rFonts w:ascii="宋体" w:hAnsi="宋体" w:cs="宋体"/>
      <w:kern w:val="0"/>
      <w:sz w:val="24"/>
    </w:rPr>
  </w:style>
  <w:style w:type="paragraph" w:customStyle="1" w:styleId="43">
    <w:name w:val="BodyText1I2"/>
    <w:basedOn w:val="44"/>
    <w:qFormat/>
    <w:uiPriority w:val="0"/>
    <w:pPr>
      <w:ind w:firstLine="420"/>
    </w:pPr>
  </w:style>
  <w:style w:type="paragraph" w:customStyle="1" w:styleId="44">
    <w:name w:val="BodyTextIndent"/>
    <w:basedOn w:val="1"/>
    <w:qFormat/>
    <w:uiPriority w:val="0"/>
    <w:pPr>
      <w:widowControl/>
      <w:snapToGrid w:val="0"/>
      <w:spacing w:after="120"/>
      <w:ind w:left="200" w:leftChars="200"/>
      <w:textAlignment w:val="baseline"/>
    </w:pPr>
    <w:rPr>
      <w:rFonts w:eastAsia="仿宋_GB2312"/>
      <w:sz w:val="32"/>
      <w:szCs w:val="32"/>
    </w:rPr>
  </w:style>
  <w:style w:type="paragraph" w:customStyle="1" w:styleId="45">
    <w:name w:val="列出段落1"/>
    <w:basedOn w:val="1"/>
    <w:qFormat/>
    <w:uiPriority w:val="0"/>
    <w:pPr>
      <w:ind w:firstLine="420" w:firstLineChars="200"/>
    </w:pPr>
  </w:style>
  <w:style w:type="paragraph" w:customStyle="1" w:styleId="46">
    <w:name w:val="_正文段落"/>
    <w:basedOn w:val="1"/>
    <w:qFormat/>
    <w:uiPriority w:val="99"/>
    <w:pPr>
      <w:spacing w:beforeLines="15" w:afterLines="15" w:line="360" w:lineRule="auto"/>
      <w:ind w:firstLine="200" w:firstLineChars="200"/>
    </w:pPr>
    <w:rPr>
      <w:rFonts w:ascii="宋体" w:eastAsia="仿宋_GB2312" w:cs="宋体"/>
      <w:kern w:val="0"/>
      <w:sz w:val="28"/>
      <w:szCs w:val="28"/>
    </w:rPr>
  </w:style>
  <w:style w:type="paragraph" w:customStyle="1" w:styleId="47">
    <w:name w:val="正文缩进1"/>
    <w:basedOn w:val="1"/>
    <w:qFormat/>
    <w:uiPriority w:val="0"/>
    <w:pPr>
      <w:ind w:firstLine="420"/>
    </w:pPr>
    <w:rPr>
      <w:rFonts w:ascii="Calibri" w:hAnsi="Calibri" w:cs="Calibri"/>
    </w:rPr>
  </w:style>
  <w:style w:type="paragraph" w:customStyle="1" w:styleId="48">
    <w:name w:val="列出段落11"/>
    <w:basedOn w:val="1"/>
    <w:qFormat/>
    <w:uiPriority w:val="0"/>
    <w:pPr>
      <w:ind w:firstLine="420" w:firstLineChars="200"/>
    </w:pPr>
  </w:style>
  <w:style w:type="paragraph" w:customStyle="1" w:styleId="49">
    <w:name w:val="列出段落2"/>
    <w:basedOn w:val="1"/>
    <w:qFormat/>
    <w:uiPriority w:val="0"/>
    <w:pPr>
      <w:ind w:firstLine="420" w:firstLineChars="200"/>
    </w:pPr>
  </w:style>
  <w:style w:type="paragraph" w:customStyle="1" w:styleId="50">
    <w:name w:val="p15"/>
    <w:basedOn w:val="1"/>
    <w:qFormat/>
    <w:uiPriority w:val="0"/>
    <w:pPr>
      <w:widowControl/>
      <w:pBdr>
        <w:bottom w:val="single" w:color="FFFFFF" w:sz="4" w:space="31"/>
      </w:pBdr>
      <w:spacing w:line="600" w:lineRule="atLeast"/>
      <w:ind w:firstLine="414"/>
    </w:pPr>
    <w:rPr>
      <w:rFonts w:ascii="仿宋_GB2312" w:hAnsi="宋体" w:eastAsia="仿宋_GB2312" w:cs="宋体"/>
      <w:color w:val="000000"/>
      <w:kern w:val="0"/>
      <w:sz w:val="36"/>
      <w:szCs w:val="36"/>
    </w:rPr>
  </w:style>
  <w:style w:type="character" w:customStyle="1" w:styleId="51">
    <w:name w:val="日期 Char"/>
    <w:basedOn w:val="22"/>
    <w:link w:val="10"/>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23238F-2B72-4215-85F1-6779BEE78D7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6926</Words>
  <Characters>7139</Characters>
  <Lines>53</Lines>
  <Paragraphs>15</Paragraphs>
  <TotalTime>0</TotalTime>
  <ScaleCrop>false</ScaleCrop>
  <LinksUpToDate>false</LinksUpToDate>
  <CharactersWithSpaces>7209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2023-04-07T14:04:00Z</dcterms:created>
  <dc:creator>杨鑫</dc:creator>
  <cp:lastModifiedBy>邓习习</cp:lastModifiedBy>
  <cp:lastPrinted>2022-07-13T11:14:00Z</cp:lastPrinted>
  <dcterms:modified xsi:type="dcterms:W3CDTF">2023-08-03T02:08:20Z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849A1FDE43CA4028B12123145BA7A75C</vt:lpwstr>
  </property>
</Properties>
</file>