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微软雅黑" w:hAnsi="微软雅黑" w:eastAsia="微软雅黑" w:cs="微软雅黑"/>
          <w:bCs/>
          <w:color w:val="auto"/>
          <w:sz w:val="28"/>
          <w:szCs w:val="28"/>
          <w:highlight w:val="none"/>
          <w:lang w:val="en-US" w:eastAsia="zh-CN"/>
        </w:rPr>
      </w:pPr>
      <w:r>
        <w:rPr>
          <w:rFonts w:hint="eastAsia" w:ascii="微软雅黑" w:hAnsi="微软雅黑" w:eastAsia="微软雅黑" w:cs="微软雅黑"/>
          <w:bCs/>
          <w:color w:val="auto"/>
          <w:sz w:val="28"/>
          <w:szCs w:val="28"/>
          <w:highlight w:val="none"/>
          <w:lang w:val="en-US" w:eastAsia="zh-CN"/>
        </w:rPr>
        <w:t>附件：</w:t>
      </w:r>
    </w:p>
    <w:p>
      <w:pPr>
        <w:pStyle w:val="2"/>
        <w:rPr>
          <w:rFonts w:hint="eastAsia" w:ascii="微软雅黑" w:hAnsi="微软雅黑" w:eastAsia="微软雅黑" w:cs="微软雅黑"/>
          <w:bCs/>
          <w:color w:val="auto"/>
          <w:sz w:val="28"/>
          <w:szCs w:val="28"/>
          <w:highlight w:val="none"/>
          <w:lang w:val="en-US" w:eastAsia="zh-CN"/>
        </w:rPr>
      </w:pPr>
    </w:p>
    <w:p>
      <w:pPr>
        <w:jc w:val="left"/>
        <w:rPr>
          <w:rFonts w:hint="eastAsia" w:ascii="方正小标宋简体" w:hAnsi="方正小标宋简体" w:eastAsia="方正小标宋简体" w:cs="方正小标宋简体"/>
          <w:bCs/>
          <w:color w:val="auto"/>
          <w:sz w:val="36"/>
          <w:szCs w:val="36"/>
          <w:highlight w:val="none"/>
          <w:lang w:val="en-US" w:eastAsia="zh-CN"/>
        </w:rPr>
      </w:pPr>
      <w:r>
        <w:rPr>
          <w:rFonts w:hint="eastAsia" w:ascii="方正小标宋简体" w:hAnsi="方正小标宋简体" w:eastAsia="方正小标宋简体" w:cs="方正小标宋简体"/>
          <w:bCs/>
          <w:color w:val="auto"/>
          <w:sz w:val="36"/>
          <w:szCs w:val="36"/>
          <w:highlight w:val="none"/>
        </w:rPr>
        <w:t>医保规范自查指导服务</w:t>
      </w:r>
      <w:r>
        <w:rPr>
          <w:rFonts w:hint="eastAsia" w:ascii="方正小标宋简体" w:hAnsi="方正小标宋简体" w:eastAsia="方正小标宋简体" w:cs="方正小标宋简体"/>
          <w:color w:val="auto"/>
          <w:sz w:val="36"/>
          <w:szCs w:val="36"/>
          <w:lang w:val="en-US" w:eastAsia="zh-CN"/>
        </w:rPr>
        <w:t>项目具体内容和商务要求</w:t>
      </w:r>
    </w:p>
    <w:p>
      <w:pPr>
        <w:jc w:val="center"/>
        <w:rPr>
          <w:rFonts w:hint="default" w:ascii="微软雅黑" w:hAnsi="微软雅黑" w:eastAsia="微软雅黑" w:cs="微软雅黑"/>
          <w:b/>
          <w:bCs/>
          <w:color w:val="auto"/>
          <w:sz w:val="28"/>
          <w:szCs w:val="28"/>
          <w:highlight w:val="none"/>
          <w:lang w:val="en-US" w:eastAsia="zh-CN"/>
        </w:rPr>
      </w:pPr>
    </w:p>
    <w:p>
      <w:pPr>
        <w:spacing w:line="360" w:lineRule="auto"/>
        <w:rPr>
          <w:rFonts w:hint="eastAsia" w:ascii="仿宋" w:hAnsi="仿宋" w:eastAsia="仿宋" w:cs="微软雅黑"/>
          <w:b/>
          <w:color w:val="auto"/>
          <w:sz w:val="24"/>
          <w:szCs w:val="24"/>
          <w:highlight w:val="none"/>
        </w:rPr>
      </w:pPr>
    </w:p>
    <w:p>
      <w:pPr>
        <w:spacing w:line="360" w:lineRule="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服务内容</w:t>
      </w:r>
    </w:p>
    <w:p>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（一）检查范围</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主要检查</w:t>
      </w:r>
      <w:r>
        <w:rPr>
          <w:rFonts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1</w:t>
      </w:r>
      <w:r>
        <w:rPr>
          <w:rFonts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年 </w:t>
      </w:r>
      <w:r>
        <w:rPr>
          <w:rFonts w:ascii="仿宋" w:hAnsi="仿宋" w:eastAsia="仿宋" w:cs="仿宋"/>
          <w:color w:val="auto"/>
          <w:sz w:val="24"/>
          <w:szCs w:val="24"/>
          <w:highlight w:val="none"/>
          <w:u w:val="single"/>
        </w:rPr>
        <w:t xml:space="preserve">1 </w:t>
      </w:r>
      <w:r>
        <w:rPr>
          <w:rFonts w:hint="eastAsia" w:ascii="仿宋" w:hAnsi="仿宋" w:eastAsia="仿宋" w:cs="仿宋"/>
          <w:color w:val="auto"/>
          <w:sz w:val="24"/>
          <w:szCs w:val="24"/>
          <w:highlight w:val="none"/>
          <w:u w:val="single"/>
        </w:rPr>
        <w:t>月</w:t>
      </w:r>
      <w:r>
        <w:rPr>
          <w:rFonts w:ascii="仿宋" w:hAnsi="仿宋" w:eastAsia="仿宋" w:cs="仿宋"/>
          <w:color w:val="auto"/>
          <w:sz w:val="24"/>
          <w:szCs w:val="24"/>
          <w:highlight w:val="none"/>
          <w:u w:val="single"/>
        </w:rPr>
        <w:t xml:space="preserve">1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2023年</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31</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纳入医保支付范围的医药服务行为、医药费用、药械购销存等情况。</w:t>
      </w:r>
    </w:p>
    <w:p>
      <w:pPr>
        <w:numPr>
          <w:ilvl w:val="0"/>
          <w:numId w:val="1"/>
        </w:num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检查内容及重点</w:t>
      </w:r>
    </w:p>
    <w:p>
      <w:pPr>
        <w:tabs>
          <w:tab w:val="left" w:pos="312"/>
        </w:tabs>
        <w:spacing w:line="360" w:lineRule="auto"/>
        <w:ind w:left="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1.常规检查</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医保基金使用内部管理制度建立情况；医保内设机构和人员配备情况；医保政策培训情况、基金使用自查自纠情况和考核评价体系建立情况；前期飞检、专项治理、自查自纠发现违法违规问题的整改情况等。</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2.重点检查</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过检查医院病案室和病房在院病历、检查和治疗记录、医院医疗设备、器材、在院患者在床治疗等情况，结合医院电子诊疗数据、医保结算费用、进销存数据等情况，对纳入医保支付范围的医疗服务行为和医疗费用进行检查。</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检查重点包括：药品和医用耗材购销存管理情况；分解住院、挂床住院、违规收费、串换项</w:t>
      </w:r>
      <w:r>
        <w:rPr>
          <w:rFonts w:ascii="仿宋" w:hAnsi="仿宋" w:eastAsia="仿宋"/>
          <w:bCs/>
          <w:color w:val="auto"/>
          <w:sz w:val="24"/>
          <w:szCs w:val="24"/>
          <w:highlight w:val="none"/>
        </w:rPr>
        <w:t>目</w:t>
      </w:r>
      <w:r>
        <w:rPr>
          <w:rFonts w:hint="eastAsia" w:ascii="仿宋" w:hAnsi="仿宋" w:eastAsia="仿宋"/>
          <w:bCs/>
          <w:color w:val="auto"/>
          <w:sz w:val="24"/>
          <w:szCs w:val="24"/>
          <w:highlight w:val="none"/>
        </w:rPr>
        <w:t>；</w:t>
      </w:r>
      <w:r>
        <w:rPr>
          <w:rFonts w:ascii="仿宋" w:hAnsi="仿宋" w:eastAsia="仿宋"/>
          <w:color w:val="auto"/>
          <w:sz w:val="24"/>
          <w:szCs w:val="24"/>
          <w:highlight w:val="none"/>
        </w:rPr>
        <w:t>虚构医疗服务、</w:t>
      </w:r>
      <w:r>
        <w:rPr>
          <w:rFonts w:hint="eastAsia" w:ascii="仿宋" w:hAnsi="仿宋" w:eastAsia="仿宋"/>
          <w:color w:val="auto"/>
          <w:sz w:val="24"/>
          <w:szCs w:val="24"/>
          <w:highlight w:val="none"/>
        </w:rPr>
        <w:t>虚计诊疗次数、</w:t>
      </w:r>
      <w:r>
        <w:rPr>
          <w:rFonts w:ascii="仿宋" w:hAnsi="仿宋" w:eastAsia="仿宋"/>
          <w:color w:val="auto"/>
          <w:sz w:val="24"/>
          <w:szCs w:val="24"/>
          <w:highlight w:val="none"/>
        </w:rPr>
        <w:t>过度诊疗、过度检查、</w:t>
      </w:r>
      <w:r>
        <w:rPr>
          <w:rFonts w:hint="eastAsia" w:ascii="仿宋" w:hAnsi="仿宋" w:eastAsia="仿宋"/>
          <w:color w:val="auto"/>
          <w:sz w:val="24"/>
          <w:szCs w:val="24"/>
          <w:highlight w:val="none"/>
        </w:rPr>
        <w:t>过度用</w:t>
      </w:r>
      <w:r>
        <w:rPr>
          <w:rFonts w:ascii="仿宋" w:hAnsi="仿宋" w:eastAsia="仿宋"/>
          <w:color w:val="auto"/>
          <w:sz w:val="24"/>
          <w:szCs w:val="24"/>
          <w:highlight w:val="none"/>
        </w:rPr>
        <w:t>药、超医保基金支付范围使用等</w:t>
      </w:r>
      <w:r>
        <w:rPr>
          <w:rFonts w:hint="eastAsia" w:ascii="仿宋" w:hAnsi="仿宋" w:eastAsia="仿宋"/>
          <w:color w:val="auto"/>
          <w:sz w:val="24"/>
          <w:szCs w:val="24"/>
          <w:highlight w:val="none"/>
        </w:rPr>
        <w:t>套取骗取医保基金</w:t>
      </w:r>
      <w:r>
        <w:rPr>
          <w:rFonts w:ascii="仿宋" w:hAnsi="仿宋" w:eastAsia="仿宋"/>
          <w:color w:val="auto"/>
          <w:sz w:val="24"/>
          <w:szCs w:val="24"/>
          <w:highlight w:val="none"/>
        </w:rPr>
        <w:t>行为</w:t>
      </w:r>
      <w:r>
        <w:rPr>
          <w:rFonts w:hint="eastAsia" w:ascii="仿宋" w:hAnsi="仿宋" w:eastAsia="仿宋"/>
          <w:color w:val="auto"/>
          <w:sz w:val="24"/>
          <w:szCs w:val="24"/>
          <w:highlight w:val="none"/>
        </w:rPr>
        <w:t>。</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（1）药品、耗材进销存情况</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对药品（耗材）的进销存情况进行检查，通过对药品（耗材）的进销存情况倒推实际理疗、检查、化验、诊疗等数量真实性，并就疑点问题进行核查病案病历等延伸检查。</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对用量、疑点或重点药品进行检查，被检药品数量（按照药品通用名计）不少</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种</w:t>
      </w:r>
      <w:r>
        <w:rPr>
          <w:rFonts w:hint="eastAsia" w:ascii="仿宋" w:hAnsi="仿宋" w:eastAsia="仿宋" w:cs="仿宋"/>
          <w:color w:val="auto"/>
          <w:sz w:val="24"/>
          <w:szCs w:val="24"/>
          <w:highlight w:val="none"/>
        </w:rPr>
        <w:t>；耗材进销存检查不少于</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种，其中对拨付费用靠前的重点高值医疗器械的进销存情况进行检查，被检高值耗材数量不少于5种（需含骨科、心脑血管介入高值耗材）。</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对电针、普通针刺等收入金额较高的理疗项目的关联材料进行检查，被检数量不少于5种；</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对检查化验项目中的疑点或重点需消耗材料或试剂的进销存情况进行检查，抽取数量不低</w:t>
      </w: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项</w:t>
      </w:r>
      <w:r>
        <w:rPr>
          <w:rFonts w:hint="eastAsia" w:ascii="仿宋" w:hAnsi="仿宋" w:eastAsia="仿宋" w:cs="仿宋"/>
          <w:color w:val="auto"/>
          <w:sz w:val="24"/>
          <w:szCs w:val="24"/>
          <w:highlight w:val="none"/>
        </w:rPr>
        <w:t xml:space="preserve">； </w:t>
      </w:r>
    </w:p>
    <w:p>
      <w:pPr>
        <w:numPr>
          <w:ilvl w:val="0"/>
          <w:numId w:val="2"/>
        </w:num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是否存在挂床住院、体检时住院、冒名顶替、虚假住院、伪造医疗文书、虚假医疗服务等诈骗医保基金行为。</w:t>
      </w:r>
    </w:p>
    <w:p>
      <w:pPr>
        <w:numPr>
          <w:ilvl w:val="0"/>
          <w:numId w:val="2"/>
        </w:num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是否存在基因检测结果造假，通过篡改肿瘤患者基因检测结果报销医保肿瘤靶向药等诈骗医保基金行为。</w:t>
      </w:r>
    </w:p>
    <w:p>
      <w:pPr>
        <w:numPr>
          <w:ilvl w:val="0"/>
          <w:numId w:val="2"/>
        </w:num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是否存在虚记透析次数、串换诊疗项目、过度检查、过度诊疗等“假透析”诈骗医保基金行为。</w:t>
      </w:r>
    </w:p>
    <w:p>
      <w:pPr>
        <w:numPr>
          <w:ilvl w:val="0"/>
          <w:numId w:val="2"/>
        </w:num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是否存在虚记、多记或串换药品、医用耗材、诊疗项目，违法诊疗规范、超适应症检查、重复检查、诱导检查、打包式检查、过度检查、过度用药等诈骗医保基金行为。</w:t>
      </w:r>
    </w:p>
    <w:p>
      <w:pPr>
        <w:numPr>
          <w:ilvl w:val="0"/>
          <w:numId w:val="2"/>
        </w:num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是否按规定的收费项目和标准进行收费和对码。是否存在打包收费、串换项目收费、超标准收费、重复收费、分解收费、自立项目收费、医保项目自费等行为。</w:t>
      </w:r>
    </w:p>
    <w:p>
      <w:pPr>
        <w:numPr>
          <w:ilvl w:val="0"/>
          <w:numId w:val="2"/>
        </w:num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吻合”核查：对疑点和重点科室，检查病历的医嘱、病程记录、处方、辅助检查结果(含原始电子数据记录、影像图文记录等，下同)、治疗记录(含医嘱执行记录、手术记录理疗记录等，下同)、票据和费用清单是否达到“七吻合”,并与参保人员实际使用情况相符合。</w:t>
      </w:r>
    </w:p>
    <w:p>
      <w:pPr>
        <w:numPr>
          <w:ilvl w:val="0"/>
          <w:numId w:val="2"/>
        </w:num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医疗项目合规性的检查，检查项目在科室的开展，执业范围、执业资格、开展资质真实性情况，以及涉及的费用。</w:t>
      </w:r>
    </w:p>
    <w:p>
      <w:pPr>
        <w:numPr>
          <w:ilvl w:val="0"/>
          <w:numId w:val="2"/>
        </w:numPr>
        <w:spacing w:line="360" w:lineRule="auto"/>
        <w:ind w:firstLine="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对检查检验的违规行为（串换、打包），康复理疗的违规行为进行检查。</w:t>
      </w:r>
    </w:p>
    <w:p>
      <w:pPr>
        <w:pStyle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（9）对重点科室的住院情况进行检查，不少于10个科室。</w:t>
      </w:r>
    </w:p>
    <w:p>
      <w:pPr>
        <w:pStyle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（10）对记录治疗次数与实际收费次数不符等有疑点的理疗项目进行检查，以倒推实际理疗数量的真实性。</w:t>
      </w:r>
    </w:p>
    <w:p>
      <w:pPr>
        <w:pStyle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（11）对年度申报量增幅较大或申报量较大的诊疗项目（如手术费、麻醉费、透析费用等）进行检查，核查使用范围、使用量、申报量等，核查数量不低于20种。</w:t>
      </w:r>
    </w:p>
    <w:p>
      <w:pPr>
        <w:pStyle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（12）对检查检验的违规行为（串换、打包），康复理疗的违规行为进行检查。</w:t>
      </w:r>
    </w:p>
    <w:p>
      <w:pPr>
        <w:spacing w:line="360" w:lineRule="auto"/>
        <w:ind w:lef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（三）做一次基金规范使用培训</w:t>
      </w:r>
    </w:p>
    <w:p>
      <w:pPr>
        <w:spacing w:line="360" w:lineRule="auto"/>
        <w:ind w:left="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1、对医保监管政策进行解读； </w:t>
      </w:r>
    </w:p>
    <w:p>
      <w:pPr>
        <w:spacing w:line="360" w:lineRule="auto"/>
        <w:ind w:left="48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2、对自查出的问题进行分析指导、协助纠正相关问题；</w:t>
      </w:r>
    </w:p>
    <w:p>
      <w:pPr>
        <w:spacing w:line="360" w:lineRule="auto"/>
        <w:ind w:left="480"/>
        <w:rPr>
          <w:color w:val="auto"/>
          <w:highlight w:val="none"/>
        </w:rPr>
      </w:pPr>
      <w:r>
        <w:rPr>
          <w:rFonts w:hint="eastAsia" w:ascii="仿宋" w:hAnsi="仿宋" w:eastAsia="仿宋" w:cs="仿宋"/>
          <w:color w:val="auto"/>
          <w:sz w:val="24"/>
          <w:szCs w:val="24"/>
          <w:highlight w:val="none"/>
        </w:rPr>
        <w:t>3、对医院各类迎检的指导培训。</w:t>
      </w:r>
    </w:p>
    <w:p>
      <w:pPr>
        <w:spacing w:line="360" w:lineRule="auto"/>
        <w:rPr>
          <w:rFonts w:ascii="仿宋" w:hAnsi="仿宋" w:eastAsia="仿宋" w:cs="微软雅黑"/>
          <w:b/>
          <w:color w:val="auto"/>
          <w:sz w:val="24"/>
          <w:szCs w:val="24"/>
          <w:highlight w:val="none"/>
        </w:rPr>
      </w:pPr>
      <w:r>
        <w:rPr>
          <w:rFonts w:hint="eastAsia" w:ascii="仿宋" w:hAnsi="仿宋" w:eastAsia="仿宋" w:cs="微软雅黑"/>
          <w:b/>
          <w:color w:val="auto"/>
          <w:sz w:val="24"/>
          <w:szCs w:val="24"/>
          <w:highlight w:val="none"/>
        </w:rPr>
        <w:t>三、服务规范要求</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（一）大数据分析服务</w:t>
      </w:r>
    </w:p>
    <w:p>
      <w:pPr>
        <w:adjustRightInd w:val="0"/>
        <w:snapToGrid w:val="0"/>
        <w:spacing w:line="360" w:lineRule="auto"/>
        <w:ind w:firstLine="488" w:firstLineChars="200"/>
        <w:jc w:val="left"/>
        <w:rPr>
          <w:rFonts w:ascii="仿宋" w:hAnsi="仿宋" w:eastAsia="仿宋" w:cs="仿宋"/>
          <w:color w:val="auto"/>
          <w:sz w:val="24"/>
          <w:szCs w:val="24"/>
          <w:highlight w:val="none"/>
        </w:rPr>
      </w:pPr>
      <w:r>
        <w:rPr>
          <w:rFonts w:hint="eastAsia" w:ascii="仿宋" w:hAnsi="仿宋" w:eastAsia="仿宋" w:cs="仿宋"/>
          <w:color w:val="auto"/>
          <w:spacing w:val="2"/>
          <w:kern w:val="0"/>
          <w:sz w:val="24"/>
          <w:szCs w:val="24"/>
          <w:highlight w:val="none"/>
        </w:rPr>
        <w:t>提取HIS业务数据，依据四川省省管公立医疗结构收费标准（包括本市《医保诊疗项目价格目录》、《国家医保药品目录》、《四川省省管公立医院取消药品加成医疗服务价格补偿调整方案》川发改价格〔2016〕582号、《关于推进省管公立医院医疗服务项目价格结构性调整的通知》川发改价格〔2017〕627号、《关于推进省管公立医院取消医用耗材加成同步调整医疗服务项目价格的通知》川发改价格〔2018〕499号），通过数据智能分析，针对医院存在的超标准收费、分解收费、重复收费、串换收费、超医保限定用药等其他医保不合理诊疗问题进行疑点筛查。</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1、HIS数据提取与校验服务。</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有基础数据遵循“统一规范、统一标准、现场收集”的方式进行收集和汇总，数据提取上报规范与要求可安排专人进行指导和说明。同时为保障提取数据的正确性，有效性，收集到的基础数据现场进行恢复和提取，并针对提取的基础数据进行业务量、数据关系、必填字段等数据质量的校验。</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2、数据对码映射服务。</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次检查所提取的数据，匹配本地三目录数据与知识内容，对照国家药品目录（药品名称、药品剂型、药品规格、包装数量、常规用量等）、诊疗项目目录（诊疗项目分类代码、收费类别、项目等级、诊疗项目说明等）、耗材目录进行统一的知识梳理和分析，以保证知识符合当地医保政策要求以及有效的被大数分析规则所准确识别。</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3、大数据规则分析服务。</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基于</w:t>
      </w:r>
      <w:r>
        <w:rPr>
          <w:rFonts w:hint="eastAsia" w:ascii="仿宋" w:hAnsi="仿宋" w:eastAsia="仿宋" w:cs="仿宋"/>
          <w:color w:val="auto"/>
          <w:spacing w:val="2"/>
          <w:kern w:val="0"/>
          <w:sz w:val="24"/>
          <w:szCs w:val="24"/>
          <w:highlight w:val="none"/>
        </w:rPr>
        <w:t>本地医保诊疗项目价格目录</w:t>
      </w:r>
      <w:r>
        <w:rPr>
          <w:rFonts w:hint="eastAsia" w:ascii="仿宋" w:hAnsi="仿宋" w:eastAsia="仿宋" w:cs="仿宋"/>
          <w:color w:val="auto"/>
          <w:sz w:val="24"/>
          <w:szCs w:val="24"/>
          <w:highlight w:val="none"/>
        </w:rPr>
        <w:t>、国家医保药品目录、耗材目录以及医疗机构两定协议要求，对违反当地政策要求而发生的超标准收费、分解收费、重复收费、超量（重复）收费、超医保限定用药等违规行为进行分析检出。</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4、大数据统计与专项分析服务。</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结合提取的数据，基于大数据的违规分析，结合医疗费用排名、业务能力与实际业务量、群体行为异常等情况开展分析，对违规收费、违规住院等常见违规行为进行数据统计和疑点筛查。</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（二）现场调查与核查服务。</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1、根据大数据分析结果对医院存在的分解住院、分解项目收费、超标准收费、重复收费、串换诊疗项目、过度诊疗等收费不合理行为进行现场核查；</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2、抽取并检查医院病案室和在院病历、医院医疗设备、器材、检查和治疗记录、在院患者在床治疗情况，对纳入医保支付范围的医疗服务行为和医疗费用进行监督检查。</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3、对药品（耗材）的进销存情况进行检查，通过对药品（耗材）的进销存情况倒推实际理疗、检查、化验、诊疗等数量真实性，并就疑点问题进行核查病案病历等延伸检查。</w:t>
      </w:r>
    </w:p>
    <w:p>
      <w:pPr>
        <w:spacing w:line="360" w:lineRule="auto"/>
        <w:rPr>
          <w:rFonts w:ascii="仿宋" w:hAnsi="仿宋" w:eastAsia="仿宋" w:cs="微软雅黑"/>
          <w:b/>
          <w:color w:val="auto"/>
          <w:sz w:val="24"/>
          <w:szCs w:val="24"/>
          <w:highlight w:val="none"/>
        </w:rPr>
      </w:pPr>
      <w:r>
        <w:rPr>
          <w:rFonts w:hint="eastAsia" w:ascii="仿宋" w:hAnsi="仿宋" w:eastAsia="仿宋" w:cs="微软雅黑"/>
          <w:b/>
          <w:color w:val="auto"/>
          <w:sz w:val="24"/>
          <w:szCs w:val="24"/>
          <w:highlight w:val="none"/>
        </w:rPr>
        <w:t>四、服务前院方准备工作要求</w:t>
      </w:r>
    </w:p>
    <w:p>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（一）大数据分析服务准备工作要求</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1.数据要求与前期准备。</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为确保数据提取的准确和规范性，基础数据提取时，需按要求进行前期准备：</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（1）按照《国家医保飞行检查提取字段要求》进行数据提取准备（数据字段、要求等）。</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（2）数据导出时，需采用Oracle数据库dmp文件格式。</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（3）数据备份导出格式要求为Oracle数据泵（expdp命令）导出dmp格式，并提供导出日志、导出数据库用户名、导出数据库表空间，数据库版本高于11.2的情况下，导出时指定版本参数version=11.2.0.4；</w:t>
      </w:r>
    </w:p>
    <w:p>
      <w:pPr>
        <w:adjustRightInd w:val="0"/>
        <w:snapToGrid w:val="0"/>
        <w:spacing w:line="360" w:lineRule="auto"/>
        <w:ind w:firstLine="480" w:firstLineChars="200"/>
        <w:jc w:val="left"/>
        <w:rPr>
          <w:rFonts w:ascii="仿宋" w:hAnsi="仿宋" w:eastAsia="仿宋" w:cs="仿宋"/>
          <w:color w:val="auto"/>
          <w:spacing w:val="2"/>
          <w:kern w:val="0"/>
          <w:sz w:val="24"/>
          <w:szCs w:val="24"/>
          <w:highlight w:val="none"/>
        </w:rPr>
      </w:pPr>
      <w:r>
        <w:rPr>
          <w:rFonts w:hint="eastAsia" w:ascii="仿宋" w:hAnsi="仿宋" w:eastAsia="仿宋" w:cs="仿宋"/>
          <w:color w:val="auto"/>
          <w:sz w:val="24"/>
          <w:szCs w:val="24"/>
          <w:highlight w:val="none"/>
        </w:rPr>
        <w:t>（4）提供四川省省管公立医疗结构收费标准（包括本市《医保诊疗项目价格目录》，《国家医保药品目录》PDF版），需要实际医保业务中使用的电子表格（如：2021年有更新，则需要提供相应更新内容）。</w:t>
      </w:r>
    </w:p>
    <w:p>
      <w:pPr>
        <w:adjustRightInd w:val="0"/>
        <w:snapToGrid w:val="0"/>
        <w:spacing w:line="360" w:lineRule="auto"/>
        <w:ind w:firstLine="488" w:firstLineChars="200"/>
        <w:jc w:val="left"/>
        <w:rPr>
          <w:rFonts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（5）提供《自贡市医保药品目录》（如该地市无此目录，则统一采用国家医保药品目录）。</w:t>
      </w:r>
    </w:p>
    <w:p>
      <w:pPr>
        <w:adjustRightInd w:val="0"/>
        <w:snapToGrid w:val="0"/>
        <w:spacing w:line="360" w:lineRule="auto"/>
        <w:ind w:firstLine="488" w:firstLineChars="200"/>
        <w:jc w:val="left"/>
        <w:rPr>
          <w:rFonts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（6）提供《自贡市两定机构协议》（电子版）。</w:t>
      </w:r>
    </w:p>
    <w:p>
      <w:pPr>
        <w:adjustRightInd w:val="0"/>
        <w:snapToGrid w:val="0"/>
        <w:spacing w:line="360" w:lineRule="auto"/>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2.数据恢复与校验。</w:t>
      </w:r>
    </w:p>
    <w:p>
      <w:pPr>
        <w:adjustRightInd w:val="0"/>
        <w:snapToGrid w:val="0"/>
        <w:spacing w:line="360" w:lineRule="auto"/>
        <w:ind w:firstLine="480" w:firstLineChars="20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为保证数据的真实有效性，针对收集到的数据现场进行恢复检查，保证数据文件有效之外，对还原的业务数据量、数据关系、必填字段等基础数据质量的校验。（与现场数据收集同步进行）</w:t>
      </w:r>
    </w:p>
    <w:p>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pacing w:val="2"/>
          <w:kern w:val="0"/>
          <w:sz w:val="24"/>
          <w:szCs w:val="24"/>
          <w:highlight w:val="none"/>
        </w:rPr>
        <w:t xml:space="preserve">    校验指标（包含但不限于）：门诊人次、费用。住院人次、总费用、统筹基金费用、门诊住院主单数据条数、门诊住院明细单数据条数、主单明细数据关联关系、住院病案首页匹配度、费用日期等其它关键字段。</w:t>
      </w:r>
      <w:bookmarkStart w:id="0" w:name="_GoBack"/>
      <w:bookmarkEnd w:id="0"/>
    </w:p>
    <w:p>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（二）专家现场检查工作要求</w:t>
      </w:r>
    </w:p>
    <w:p>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1、检查组入场前医院须提前准备的资料，包括：</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（1）提供医院组织架构图（科室清单）；</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（2）年收入最高的前10个科室名单；</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（3）医院特色科室清单；</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（4）检验项目清单及试剂说明书；</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（5）前期医保局飞检、专项治理等处罚通知书；</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（6）外送检验检查项目的合同或项目清单；</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（7）中医医师、康复师、治疗师的资质；</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1</w:t>
      </w:r>
      <w:r>
        <w:rPr>
          <w:rFonts w:ascii="仿宋" w:hAnsi="仿宋" w:eastAsia="仿宋" w:cs="仿宋"/>
          <w:color w:val="auto"/>
          <w:sz w:val="24"/>
          <w:szCs w:val="24"/>
          <w:highlight w:val="none"/>
        </w:rPr>
        <w:t>年 1月1日-202</w:t>
      </w:r>
      <w:r>
        <w:rPr>
          <w:rFonts w:hint="eastAsia" w:ascii="仿宋" w:hAnsi="仿宋" w:eastAsia="仿宋" w:cs="仿宋"/>
          <w:color w:val="auto"/>
          <w:sz w:val="24"/>
          <w:szCs w:val="24"/>
          <w:highlight w:val="none"/>
        </w:rPr>
        <w:t>3年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，医保支付耗材、药品盘存数据。</w:t>
      </w:r>
    </w:p>
    <w:p>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2、检查组入场前医院须提前准备纸质病历，包括：</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检查组入场前，院方至少准备</w:t>
      </w:r>
      <w:r>
        <w:rPr>
          <w:rFonts w:hint="eastAsia" w:ascii="仿宋" w:hAnsi="仿宋" w:eastAsia="仿宋" w:cs="仿宋"/>
          <w:color w:val="auto"/>
          <w:sz w:val="24"/>
          <w:szCs w:val="24"/>
          <w:highlight w:val="none"/>
          <w:u w:val="single"/>
        </w:rPr>
        <w:t>100</w:t>
      </w:r>
      <w:r>
        <w:rPr>
          <w:rFonts w:hint="eastAsia" w:ascii="仿宋" w:hAnsi="仿宋" w:eastAsia="仿宋" w:cs="仿宋"/>
          <w:color w:val="auto"/>
          <w:sz w:val="24"/>
          <w:szCs w:val="24"/>
          <w:highlight w:val="none"/>
        </w:rPr>
        <w:t>份纸质病历（</w:t>
      </w:r>
      <w:r>
        <w:rPr>
          <w:rFonts w:ascii="仿宋" w:hAnsi="仿宋" w:eastAsia="仿宋" w:cs="仿宋"/>
          <w:color w:val="auto"/>
          <w:sz w:val="24"/>
          <w:szCs w:val="24"/>
          <w:highlight w:val="none"/>
        </w:rPr>
        <w:t>内</w:t>
      </w:r>
      <w:r>
        <w:rPr>
          <w:rFonts w:hint="eastAsia" w:ascii="仿宋" w:hAnsi="仿宋" w:eastAsia="仿宋" w:cs="仿宋"/>
          <w:color w:val="auto"/>
          <w:sz w:val="24"/>
          <w:szCs w:val="24"/>
          <w:highlight w:val="none"/>
        </w:rPr>
        <w:t>科外</w:t>
      </w:r>
      <w:r>
        <w:rPr>
          <w:rFonts w:ascii="仿宋" w:hAnsi="仿宋" w:eastAsia="仿宋" w:cs="仿宋"/>
          <w:color w:val="auto"/>
          <w:sz w:val="24"/>
          <w:szCs w:val="24"/>
          <w:highlight w:val="none"/>
        </w:rPr>
        <w:t>科</w:t>
      </w:r>
      <w:r>
        <w:rPr>
          <w:rFonts w:hint="eastAsia" w:ascii="仿宋" w:hAnsi="仿宋" w:eastAsia="仿宋" w:cs="仿宋"/>
          <w:color w:val="auto"/>
          <w:sz w:val="24"/>
          <w:szCs w:val="24"/>
          <w:highlight w:val="none"/>
        </w:rPr>
        <w:t>各50份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，其中血透、肿瘤、骨科、心脏、介入科室必抽），入场后再根据检查情况抽取相关病历。</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同时需要打印每一份病历的医保结算清单。（要有甲乙和自费</w:t>
      </w:r>
      <w:r>
        <w:rPr>
          <w:rFonts w:ascii="仿宋" w:hAnsi="仿宋" w:eastAsia="仿宋" w:cs="仿宋"/>
          <w:color w:val="auto"/>
          <w:sz w:val="24"/>
          <w:szCs w:val="24"/>
          <w:highlight w:val="none"/>
        </w:rPr>
        <w:t>类别和每</w:t>
      </w:r>
      <w:r>
        <w:rPr>
          <w:rFonts w:hint="eastAsia" w:ascii="仿宋" w:hAnsi="仿宋" w:eastAsia="仿宋" w:cs="仿宋"/>
          <w:color w:val="auto"/>
          <w:sz w:val="24"/>
          <w:szCs w:val="24"/>
          <w:highlight w:val="none"/>
        </w:rPr>
        <w:t>项费用编码）</w:t>
      </w:r>
    </w:p>
    <w:p>
      <w:pPr>
        <w:adjustRightInd w:val="0"/>
        <w:snapToGrid w:val="0"/>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3、院方人员及场地配合要求</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（1）医保科安排专人配合检查组负责协调检查过程中的各种院内协调工作。</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（2）信息科，安排专人负责配合HIS数据提取及检查过程中的网络的接入、打印机、电源线等事项。</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（3）病案科，协助每天检查组所需查验病历的提供和归档。</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（4）临床科室，在检查组下科室检查中，需有对应的医生和护士协助配合。</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全程提供纸质病历。</w:t>
      </w:r>
    </w:p>
    <w:p>
      <w:pPr>
        <w:adjustRightInd w:val="0"/>
        <w:snapToGrid w:val="0"/>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r>
        <w:rPr>
          <w:rFonts w:hint="eastAsia" w:ascii="仿宋" w:hAnsi="仿宋" w:eastAsia="仿宋" w:cs="仿宋"/>
          <w:color w:val="auto"/>
          <w:sz w:val="24"/>
          <w:szCs w:val="24"/>
          <w:highlight w:val="none"/>
        </w:rPr>
        <w:t>院方负责提供一个固定的办公场地供检查组使用；</w:t>
      </w:r>
      <w:r>
        <w:rPr>
          <w:rFonts w:hint="eastAsia" w:ascii="仿宋" w:hAnsi="仿宋" w:eastAsia="仿宋" w:cs="仿宋"/>
          <w:bCs/>
          <w:color w:val="auto"/>
          <w:sz w:val="24"/>
          <w:szCs w:val="24"/>
          <w:highlight w:val="none"/>
        </w:rPr>
        <w:t>医院配备电脑给我司信息人员，保证信息人员和专家组在同一会议室，能及时沟通信息。</w:t>
      </w:r>
    </w:p>
    <w:p>
      <w:pPr>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五、服务验收与交付</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1、检查组完成检查工作后，由医院组织对应业务科室、医保物价科室、分管院领导一起，与检查组进行问题沟通和确认。</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2、确认无误后，院方在检查确认单上签字。</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3、检查组在院方确认之后，提供检查整改报告，医院签字。</w:t>
      </w:r>
    </w:p>
    <w:p>
      <w:pPr>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六、检查服务时间安排</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XX月XX日前</w:t>
      </w:r>
      <w:r>
        <w:rPr>
          <w:rFonts w:hint="eastAsia" w:ascii="仿宋" w:hAnsi="仿宋" w:eastAsia="仿宋" w:cs="仿宋"/>
          <w:color w:val="auto"/>
          <w:sz w:val="24"/>
          <w:szCs w:val="24"/>
          <w:highlight w:val="none"/>
        </w:rPr>
        <w:t>，完成服务协议及保密协议的签署；</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XX月XX日前</w:t>
      </w:r>
      <w:r>
        <w:rPr>
          <w:rFonts w:hint="eastAsia" w:ascii="仿宋" w:hAnsi="仿宋" w:eastAsia="仿宋" w:cs="仿宋"/>
          <w:color w:val="auto"/>
          <w:sz w:val="24"/>
          <w:szCs w:val="24"/>
          <w:highlight w:val="none"/>
        </w:rPr>
        <w:t>，完成HIS数据提取及分析筛查工作（至少一周）；</w:t>
      </w:r>
    </w:p>
    <w:p>
      <w:pPr>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XX月XX日前</w:t>
      </w:r>
      <w:r>
        <w:rPr>
          <w:rFonts w:hint="eastAsia" w:ascii="仿宋" w:hAnsi="仿宋" w:eastAsia="仿宋" w:cs="仿宋"/>
          <w:color w:val="auto"/>
          <w:sz w:val="24"/>
          <w:szCs w:val="24"/>
          <w:highlight w:val="none"/>
        </w:rPr>
        <w:t>，完成全部检查服务工作，并提交检查报告（至少一周）。</w:t>
      </w:r>
    </w:p>
    <w:p>
      <w:pPr>
        <w:numPr>
          <w:ilvl w:val="0"/>
          <w:numId w:val="3"/>
        </w:numPr>
        <w:adjustRightInd w:val="0"/>
        <w:snapToGrid w:val="0"/>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商务要求</w:t>
      </w:r>
    </w:p>
    <w:p>
      <w:pPr>
        <w:snapToGrid w:val="0"/>
        <w:spacing w:line="560" w:lineRule="exact"/>
        <w:ind w:firstLine="562" w:firstLineChars="200"/>
        <w:textAlignment w:val="baseline"/>
        <w:rPr>
          <w:rFonts w:ascii="黑体" w:hAnsi="黑体" w:eastAsia="黑体" w:cs="黑体"/>
          <w:color w:val="auto"/>
          <w:sz w:val="28"/>
          <w:szCs w:val="28"/>
          <w:highlight w:val="none"/>
        </w:rPr>
      </w:pPr>
      <w:r>
        <w:rPr>
          <w:rFonts w:hint="eastAsia" w:ascii="仿宋" w:hAnsi="仿宋" w:eastAsia="仿宋" w:cs="仿宋"/>
          <w:b/>
          <w:bCs/>
          <w:color w:val="auto"/>
          <w:sz w:val="28"/>
          <w:szCs w:val="28"/>
          <w:highlight w:val="none"/>
        </w:rPr>
        <w:t>（一）要求：</w:t>
      </w:r>
    </w:p>
    <w:p>
      <w:pPr>
        <w:spacing w:line="80" w:lineRule="exact"/>
        <w:rPr>
          <w:color w:val="auto"/>
          <w:highlight w:val="none"/>
        </w:rPr>
      </w:pPr>
    </w:p>
    <w:tbl>
      <w:tblPr>
        <w:tblStyle w:val="1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1"/>
        <w:gridCol w:w="1666"/>
        <w:gridCol w:w="6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19" w:type="pct"/>
            <w:tcBorders>
              <w:left w:val="single" w:color="000000" w:sz="10" w:space="0"/>
              <w:right w:val="single" w:color="000000" w:sz="4" w:space="0"/>
            </w:tcBorders>
          </w:tcPr>
          <w:p>
            <w:pPr>
              <w:spacing w:before="108" w:line="223" w:lineRule="auto"/>
              <w:ind w:left="55"/>
              <w:rPr>
                <w:rFonts w:ascii="仿宋" w:hAnsi="仿宋" w:eastAsia="仿宋" w:cs="仿宋"/>
                <w:color w:val="auto"/>
                <w:sz w:val="22"/>
                <w:highlight w:val="none"/>
              </w:rPr>
            </w:pPr>
            <w:r>
              <w:rPr>
                <w:rFonts w:ascii="仿宋" w:hAnsi="仿宋" w:eastAsia="仿宋" w:cs="仿宋"/>
                <w:color w:val="auto"/>
                <w:spacing w:val="-7"/>
                <w:sz w:val="22"/>
                <w:highlight w:val="none"/>
                <w14:textOutline w14:w="4013" w14:cap="sq" w14:cmpd="sng" w14:algn="ctr">
                  <w14:solidFill>
                    <w14:srgbClr w14:val="000000"/>
                  </w14:solidFill>
                  <w14:prstDash w14:val="solid"/>
                  <w14:bevel/>
                </w14:textOutline>
              </w:rPr>
              <w:t>序</w:t>
            </w:r>
            <w:r>
              <w:rPr>
                <w:rFonts w:ascii="仿宋" w:hAnsi="仿宋" w:eastAsia="仿宋" w:cs="仿宋"/>
                <w:color w:val="auto"/>
                <w:spacing w:val="-6"/>
                <w:sz w:val="22"/>
                <w:highlight w:val="none"/>
                <w14:textOutline w14:w="4013" w14:cap="sq" w14:cmpd="sng" w14:algn="ctr">
                  <w14:solidFill>
                    <w14:srgbClr w14:val="000000"/>
                  </w14:solidFill>
                  <w14:prstDash w14:val="solid"/>
                  <w14:bevel/>
                </w14:textOutline>
              </w:rPr>
              <w:t>号</w:t>
            </w:r>
          </w:p>
        </w:tc>
        <w:tc>
          <w:tcPr>
            <w:tcW w:w="1000" w:type="pct"/>
            <w:tcBorders>
              <w:left w:val="single" w:color="000000" w:sz="4" w:space="0"/>
              <w:right w:val="single" w:color="000000" w:sz="4" w:space="0"/>
            </w:tcBorders>
          </w:tcPr>
          <w:p>
            <w:pPr>
              <w:spacing w:before="108" w:line="223" w:lineRule="auto"/>
              <w:ind w:left="668"/>
              <w:rPr>
                <w:rFonts w:ascii="仿宋" w:hAnsi="仿宋" w:eastAsia="仿宋" w:cs="仿宋"/>
                <w:color w:val="auto"/>
                <w:sz w:val="22"/>
                <w:highlight w:val="none"/>
              </w:rPr>
            </w:pPr>
            <w:r>
              <w:rPr>
                <w:rFonts w:ascii="仿宋" w:hAnsi="仿宋" w:eastAsia="仿宋" w:cs="仿宋"/>
                <w:color w:val="auto"/>
                <w:spacing w:val="-20"/>
                <w:sz w:val="22"/>
                <w:highlight w:val="none"/>
                <w14:textOutline w14:w="4013" w14:cap="sq" w14:cmpd="sng" w14:algn="ctr">
                  <w14:solidFill>
                    <w14:srgbClr w14:val="000000"/>
                  </w14:solidFill>
                  <w14:prstDash w14:val="solid"/>
                  <w14:bevel/>
                </w14:textOutline>
              </w:rPr>
              <w:t>内容</w:t>
            </w:r>
          </w:p>
        </w:tc>
        <w:tc>
          <w:tcPr>
            <w:tcW w:w="3680" w:type="pct"/>
            <w:tcBorders>
              <w:left w:val="single" w:color="000000" w:sz="4" w:space="0"/>
              <w:right w:val="single" w:color="000000" w:sz="10" w:space="0"/>
            </w:tcBorders>
          </w:tcPr>
          <w:p>
            <w:pPr>
              <w:spacing w:before="108" w:line="223" w:lineRule="auto"/>
              <w:ind w:left="3062"/>
              <w:rPr>
                <w:rFonts w:ascii="仿宋" w:hAnsi="仿宋" w:eastAsia="仿宋" w:cs="仿宋"/>
                <w:color w:val="auto"/>
                <w:sz w:val="22"/>
                <w:highlight w:val="none"/>
              </w:rPr>
            </w:pPr>
            <w:r>
              <w:rPr>
                <w:rFonts w:ascii="仿宋" w:hAnsi="仿宋" w:eastAsia="仿宋" w:cs="仿宋"/>
                <w:color w:val="auto"/>
                <w:spacing w:val="-10"/>
                <w:sz w:val="22"/>
                <w:highlight w:val="none"/>
                <w14:textOutline w14:w="4013" w14:cap="sq" w14:cmpd="sng" w14:algn="ctr">
                  <w14:solidFill>
                    <w14:srgbClr w14:val="000000"/>
                  </w14:solidFill>
                  <w14:prstDash w14:val="solid"/>
                  <w14:bevel/>
                </w14:textOutline>
              </w:rPr>
              <w:t>要</w:t>
            </w:r>
            <w:r>
              <w:rPr>
                <w:rFonts w:ascii="仿宋" w:hAnsi="仿宋" w:eastAsia="仿宋" w:cs="仿宋"/>
                <w:color w:val="auto"/>
                <w:spacing w:val="-8"/>
                <w:sz w:val="22"/>
                <w:highlight w:val="none"/>
                <w14:textOutline w14:w="4013" w14:cap="sq" w14:cmpd="sng" w14:algn="ctr">
                  <w14:solidFill>
                    <w14:srgbClr w14:val="000000"/>
                  </w14:solidFill>
                  <w14:prstDash w14:val="solid"/>
                  <w14:bevel/>
                </w14:textOutline>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319" w:type="pct"/>
            <w:tcBorders>
              <w:left w:val="single" w:color="000000" w:sz="10" w:space="0"/>
              <w:right w:val="single" w:color="000000" w:sz="4" w:space="0"/>
            </w:tcBorders>
          </w:tcPr>
          <w:p>
            <w:pPr>
              <w:spacing w:before="257" w:line="189" w:lineRule="auto"/>
              <w:ind w:left="235"/>
              <w:rPr>
                <w:rFonts w:ascii="Times New Roman" w:hAnsi="Times New Roman" w:eastAsia="Times New Roman" w:cs="Times New Roman"/>
                <w:color w:val="auto"/>
                <w:sz w:val="22"/>
                <w:highlight w:val="none"/>
              </w:rPr>
            </w:pPr>
            <w:r>
              <w:rPr>
                <w:rFonts w:ascii="Times New Roman" w:hAnsi="Times New Roman" w:eastAsia="Times New Roman" w:cs="Times New Roman"/>
                <w:color w:val="auto"/>
                <w:sz w:val="22"/>
                <w:highlight w:val="none"/>
              </w:rPr>
              <w:t>1</w:t>
            </w:r>
          </w:p>
        </w:tc>
        <w:tc>
          <w:tcPr>
            <w:tcW w:w="1000" w:type="pct"/>
            <w:tcBorders>
              <w:left w:val="single" w:color="000000" w:sz="4" w:space="0"/>
              <w:right w:val="single" w:color="000000" w:sz="4" w:space="0"/>
            </w:tcBorders>
          </w:tcPr>
          <w:p>
            <w:pPr>
              <w:spacing w:before="221" w:line="223" w:lineRule="auto"/>
              <w:ind w:left="203"/>
              <w:rPr>
                <w:rFonts w:ascii="仿宋" w:hAnsi="仿宋" w:eastAsia="仿宋" w:cs="仿宋"/>
                <w:color w:val="auto"/>
                <w:sz w:val="22"/>
                <w:highlight w:val="none"/>
              </w:rPr>
            </w:pPr>
            <w:r>
              <w:rPr>
                <w:rFonts w:ascii="仿宋" w:hAnsi="仿宋" w:eastAsia="仿宋" w:cs="仿宋"/>
                <w:color w:val="auto"/>
                <w:spacing w:val="-4"/>
                <w:sz w:val="22"/>
                <w:highlight w:val="none"/>
              </w:rPr>
              <w:t>项</w:t>
            </w:r>
            <w:r>
              <w:rPr>
                <w:rFonts w:ascii="仿宋" w:hAnsi="仿宋" w:eastAsia="仿宋" w:cs="仿宋"/>
                <w:color w:val="auto"/>
                <w:spacing w:val="-2"/>
                <w:sz w:val="22"/>
                <w:highlight w:val="none"/>
              </w:rPr>
              <w:t>目实施周期</w:t>
            </w:r>
          </w:p>
        </w:tc>
        <w:tc>
          <w:tcPr>
            <w:tcW w:w="3680" w:type="pct"/>
            <w:tcBorders>
              <w:left w:val="single" w:color="000000" w:sz="4" w:space="0"/>
              <w:right w:val="single" w:color="000000" w:sz="10" w:space="0"/>
            </w:tcBorders>
          </w:tcPr>
          <w:p>
            <w:pPr>
              <w:spacing w:before="221" w:line="223" w:lineRule="auto"/>
              <w:ind w:left="222"/>
              <w:rPr>
                <w:rFonts w:ascii="仿宋" w:hAnsi="仿宋" w:eastAsia="仿宋" w:cs="仿宋"/>
                <w:color w:val="auto"/>
                <w:sz w:val="22"/>
                <w:highlight w:val="none"/>
              </w:rPr>
            </w:pPr>
            <w:r>
              <w:rPr>
                <w:rFonts w:ascii="仿宋" w:hAnsi="仿宋" w:eastAsia="仿宋" w:cs="仿宋"/>
                <w:color w:val="auto"/>
                <w:spacing w:val="-2"/>
                <w:sz w:val="22"/>
                <w:highlight w:val="none"/>
              </w:rPr>
              <w:t>采购合</w:t>
            </w:r>
            <w:r>
              <w:rPr>
                <w:rFonts w:ascii="仿宋" w:hAnsi="仿宋" w:eastAsia="仿宋" w:cs="仿宋"/>
                <w:color w:val="auto"/>
                <w:spacing w:val="-1"/>
                <w:sz w:val="22"/>
                <w:highlight w:val="none"/>
              </w:rPr>
              <w:t>同签订后</w:t>
            </w:r>
            <w:r>
              <w:rPr>
                <w:rFonts w:hint="eastAsia" w:ascii="仿宋" w:hAnsi="仿宋" w:eastAsia="仿宋" w:cs="仿宋"/>
                <w:color w:val="auto"/>
                <w:spacing w:val="-1"/>
                <w:sz w:val="22"/>
                <w:highlight w:val="none"/>
              </w:rPr>
              <w:t>协商时间</w:t>
            </w:r>
            <w:r>
              <w:rPr>
                <w:rFonts w:ascii="仿宋" w:hAnsi="仿宋" w:eastAsia="仿宋" w:cs="仿宋"/>
                <w:color w:val="auto"/>
                <w:spacing w:val="-1"/>
                <w:sz w:val="22"/>
                <w:highlight w:val="none"/>
              </w:rPr>
              <w:t>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319" w:type="pct"/>
            <w:tcBorders>
              <w:left w:val="single" w:color="000000" w:sz="10" w:space="0"/>
              <w:right w:val="single" w:color="000000" w:sz="4" w:space="0"/>
            </w:tcBorders>
          </w:tcPr>
          <w:p>
            <w:pPr>
              <w:spacing w:before="265" w:line="189" w:lineRule="auto"/>
              <w:ind w:left="213"/>
              <w:rPr>
                <w:rFonts w:ascii="Times New Roman" w:hAnsi="Times New Roman" w:eastAsia="Times New Roman" w:cs="Times New Roman"/>
                <w:color w:val="auto"/>
                <w:sz w:val="22"/>
                <w:highlight w:val="none"/>
              </w:rPr>
            </w:pPr>
            <w:r>
              <w:rPr>
                <w:rFonts w:ascii="Times New Roman" w:hAnsi="Times New Roman" w:eastAsia="Times New Roman" w:cs="Times New Roman"/>
                <w:color w:val="auto"/>
                <w:sz w:val="22"/>
                <w:highlight w:val="none"/>
              </w:rPr>
              <w:t>2</w:t>
            </w:r>
          </w:p>
        </w:tc>
        <w:tc>
          <w:tcPr>
            <w:tcW w:w="1000" w:type="pct"/>
            <w:tcBorders>
              <w:left w:val="single" w:color="000000" w:sz="4" w:space="0"/>
              <w:right w:val="single" w:color="000000" w:sz="4" w:space="0"/>
            </w:tcBorders>
          </w:tcPr>
          <w:p>
            <w:pPr>
              <w:spacing w:before="230" w:line="223" w:lineRule="auto"/>
              <w:ind w:left="422"/>
              <w:rPr>
                <w:rFonts w:ascii="仿宋" w:hAnsi="仿宋" w:eastAsia="仿宋" w:cs="仿宋"/>
                <w:color w:val="auto"/>
                <w:sz w:val="22"/>
                <w:highlight w:val="none"/>
              </w:rPr>
            </w:pPr>
            <w:r>
              <w:rPr>
                <w:rFonts w:ascii="仿宋" w:hAnsi="仿宋" w:eastAsia="仿宋" w:cs="仿宋"/>
                <w:color w:val="auto"/>
                <w:spacing w:val="-4"/>
                <w:sz w:val="22"/>
                <w:highlight w:val="none"/>
              </w:rPr>
              <w:t>服</w:t>
            </w:r>
            <w:r>
              <w:rPr>
                <w:rFonts w:ascii="仿宋" w:hAnsi="仿宋" w:eastAsia="仿宋" w:cs="仿宋"/>
                <w:color w:val="auto"/>
                <w:spacing w:val="-3"/>
                <w:sz w:val="22"/>
                <w:highlight w:val="none"/>
              </w:rPr>
              <w:t>务地点</w:t>
            </w:r>
          </w:p>
        </w:tc>
        <w:tc>
          <w:tcPr>
            <w:tcW w:w="3680" w:type="pct"/>
            <w:tcBorders>
              <w:left w:val="single" w:color="000000" w:sz="4" w:space="0"/>
              <w:right w:val="single" w:color="000000" w:sz="10" w:space="0"/>
            </w:tcBorders>
          </w:tcPr>
          <w:p>
            <w:pPr>
              <w:spacing w:before="230" w:line="223" w:lineRule="auto"/>
              <w:ind w:left="246"/>
              <w:rPr>
                <w:rFonts w:ascii="仿宋" w:hAnsi="仿宋" w:eastAsia="仿宋" w:cs="仿宋"/>
                <w:color w:val="auto"/>
                <w:sz w:val="22"/>
                <w:highlight w:val="none"/>
              </w:rPr>
            </w:pPr>
            <w:r>
              <w:rPr>
                <w:rFonts w:hint="eastAsia" w:ascii="仿宋" w:hAnsi="仿宋" w:eastAsia="仿宋" w:cs="仿宋"/>
                <w:color w:val="auto"/>
                <w:sz w:val="22"/>
                <w:highlight w:val="none"/>
              </w:rPr>
              <w:t>自贡市</w:t>
            </w:r>
            <w:r>
              <w:rPr>
                <w:rFonts w:hint="eastAsia" w:ascii="仿宋" w:hAnsi="仿宋" w:eastAsia="仿宋" w:cs="仿宋"/>
                <w:color w:val="auto"/>
                <w:sz w:val="22"/>
                <w:highlight w:val="none"/>
                <w:lang w:val="en-US" w:eastAsia="zh-CN"/>
              </w:rPr>
              <w:t>中医</w:t>
            </w:r>
            <w:r>
              <w:rPr>
                <w:rFonts w:hint="eastAsia" w:ascii="仿宋" w:hAnsi="仿宋" w:eastAsia="仿宋" w:cs="仿宋"/>
                <w:color w:val="auto"/>
                <w:sz w:val="22"/>
                <w:highlight w:val="none"/>
              </w:rPr>
              <w:t>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319" w:type="pct"/>
            <w:tcBorders>
              <w:left w:val="single" w:color="000000" w:sz="10" w:space="0"/>
              <w:right w:val="single" w:color="000000" w:sz="4" w:space="0"/>
            </w:tcBorders>
          </w:tcPr>
          <w:p>
            <w:pPr>
              <w:spacing w:line="305" w:lineRule="auto"/>
              <w:rPr>
                <w:rFonts w:ascii="Arial"/>
                <w:color w:val="auto"/>
                <w:highlight w:val="none"/>
              </w:rPr>
            </w:pPr>
          </w:p>
          <w:p>
            <w:pPr>
              <w:spacing w:before="64" w:line="189" w:lineRule="auto"/>
              <w:ind w:left="218"/>
              <w:rPr>
                <w:rFonts w:ascii="Times New Roman" w:hAnsi="Times New Roman" w:eastAsia="Times New Roman" w:cs="Times New Roman"/>
                <w:color w:val="auto"/>
                <w:sz w:val="22"/>
                <w:highlight w:val="none"/>
              </w:rPr>
            </w:pPr>
            <w:r>
              <w:rPr>
                <w:rFonts w:ascii="Times New Roman" w:hAnsi="Times New Roman" w:eastAsia="Times New Roman" w:cs="Times New Roman"/>
                <w:color w:val="auto"/>
                <w:sz w:val="22"/>
                <w:highlight w:val="none"/>
              </w:rPr>
              <w:t>3</w:t>
            </w:r>
          </w:p>
        </w:tc>
        <w:tc>
          <w:tcPr>
            <w:tcW w:w="1000" w:type="pct"/>
            <w:tcBorders>
              <w:left w:val="single" w:color="000000" w:sz="4" w:space="0"/>
              <w:right w:val="single" w:color="000000" w:sz="4" w:space="0"/>
            </w:tcBorders>
          </w:tcPr>
          <w:p>
            <w:pPr>
              <w:spacing w:line="262" w:lineRule="auto"/>
              <w:rPr>
                <w:rFonts w:ascii="Arial"/>
                <w:color w:val="auto"/>
                <w:highlight w:val="none"/>
              </w:rPr>
            </w:pPr>
          </w:p>
          <w:p>
            <w:pPr>
              <w:spacing w:before="71" w:line="223" w:lineRule="auto"/>
              <w:ind w:left="644"/>
              <w:rPr>
                <w:rFonts w:ascii="仿宋" w:hAnsi="仿宋" w:eastAsia="仿宋" w:cs="仿宋"/>
                <w:color w:val="auto"/>
                <w:sz w:val="22"/>
                <w:highlight w:val="none"/>
              </w:rPr>
            </w:pPr>
            <w:r>
              <w:rPr>
                <w:rFonts w:ascii="仿宋" w:hAnsi="仿宋" w:eastAsia="仿宋" w:cs="仿宋"/>
                <w:color w:val="auto"/>
                <w:spacing w:val="-7"/>
                <w:sz w:val="22"/>
                <w:highlight w:val="none"/>
              </w:rPr>
              <w:t>报</w:t>
            </w:r>
            <w:r>
              <w:rPr>
                <w:rFonts w:ascii="仿宋" w:hAnsi="仿宋" w:eastAsia="仿宋" w:cs="仿宋"/>
                <w:color w:val="auto"/>
                <w:spacing w:val="-6"/>
                <w:sz w:val="22"/>
                <w:highlight w:val="none"/>
              </w:rPr>
              <w:t>价</w:t>
            </w:r>
          </w:p>
        </w:tc>
        <w:tc>
          <w:tcPr>
            <w:tcW w:w="3680" w:type="pct"/>
            <w:tcBorders>
              <w:left w:val="single" w:color="000000" w:sz="4" w:space="0"/>
              <w:right w:val="single" w:color="000000" w:sz="10" w:space="0"/>
            </w:tcBorders>
          </w:tcPr>
          <w:p>
            <w:pPr>
              <w:spacing w:before="140" w:line="392" w:lineRule="exact"/>
              <w:ind w:left="220"/>
              <w:rPr>
                <w:rFonts w:hint="default" w:ascii="仿宋" w:hAnsi="仿宋" w:eastAsia="仿宋" w:cs="仿宋"/>
                <w:color w:val="auto"/>
                <w:sz w:val="22"/>
                <w:highlight w:val="none"/>
                <w:lang w:val="en-US" w:eastAsia="zh-CN"/>
              </w:rPr>
            </w:pPr>
            <w:r>
              <w:rPr>
                <w:rFonts w:ascii="仿宋" w:hAnsi="仿宋" w:eastAsia="仿宋" w:cs="仿宋"/>
                <w:color w:val="auto"/>
                <w:spacing w:val="7"/>
                <w:position w:val="12"/>
                <w:sz w:val="22"/>
                <w:highlight w:val="none"/>
              </w:rPr>
              <w:t>报</w:t>
            </w:r>
            <w:r>
              <w:rPr>
                <w:rFonts w:ascii="仿宋" w:hAnsi="仿宋" w:eastAsia="仿宋" w:cs="仿宋"/>
                <w:color w:val="auto"/>
                <w:spacing w:val="6"/>
                <w:position w:val="12"/>
                <w:sz w:val="22"/>
                <w:highlight w:val="none"/>
              </w:rPr>
              <w:t>价应是完成本项目所有服务内容和</w:t>
            </w:r>
            <w:r>
              <w:rPr>
                <w:rFonts w:hint="eastAsia" w:ascii="仿宋" w:hAnsi="仿宋" w:eastAsia="仿宋" w:cs="仿宋"/>
                <w:color w:val="auto"/>
                <w:spacing w:val="6"/>
                <w:position w:val="12"/>
                <w:sz w:val="22"/>
                <w:highlight w:val="none"/>
                <w:lang w:val="en-US" w:eastAsia="zh-CN"/>
              </w:rPr>
              <w:t>比选</w:t>
            </w:r>
            <w:r>
              <w:rPr>
                <w:rFonts w:ascii="仿宋" w:hAnsi="仿宋" w:eastAsia="仿宋" w:cs="仿宋"/>
                <w:color w:val="auto"/>
                <w:spacing w:val="6"/>
                <w:position w:val="12"/>
                <w:sz w:val="22"/>
                <w:highlight w:val="none"/>
              </w:rPr>
              <w:t>文件规定的其它</w:t>
            </w:r>
            <w:r>
              <w:rPr>
                <w:rFonts w:hint="eastAsia" w:ascii="仿宋" w:hAnsi="仿宋" w:eastAsia="仿宋" w:cs="仿宋"/>
                <w:color w:val="auto"/>
                <w:spacing w:val="6"/>
                <w:position w:val="12"/>
                <w:sz w:val="22"/>
                <w:highlight w:val="none"/>
              </w:rPr>
              <w:t>全部费用</w:t>
            </w:r>
            <w:r>
              <w:rPr>
                <w:rFonts w:hint="eastAsia" w:ascii="仿宋" w:hAnsi="仿宋" w:eastAsia="仿宋" w:cs="仿宋"/>
                <w:color w:val="auto"/>
                <w:spacing w:val="6"/>
                <w:position w:val="12"/>
                <w:sz w:val="22"/>
                <w:highlight w:val="none"/>
                <w:lang w:eastAsia="zh-CN"/>
              </w:rPr>
              <w:t>。</w:t>
            </w:r>
            <w:r>
              <w:rPr>
                <w:rFonts w:hint="eastAsia" w:ascii="仿宋" w:hAnsi="仿宋" w:eastAsia="仿宋" w:cs="仿宋"/>
                <w:color w:val="auto"/>
                <w:spacing w:val="6"/>
                <w:position w:val="12"/>
                <w:sz w:val="22"/>
                <w:highlight w:val="none"/>
                <w:lang w:val="en-US" w:eastAsia="zh-CN"/>
              </w:rPr>
              <w:t>控制价：21万元。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319" w:type="pct"/>
            <w:tcBorders>
              <w:left w:val="single" w:color="000000" w:sz="10" w:space="0"/>
              <w:right w:val="single" w:color="000000" w:sz="4" w:space="0"/>
            </w:tcBorders>
          </w:tcPr>
          <w:p>
            <w:pPr>
              <w:spacing w:line="450" w:lineRule="auto"/>
              <w:rPr>
                <w:rFonts w:ascii="Arial"/>
                <w:color w:val="auto"/>
                <w:highlight w:val="none"/>
              </w:rPr>
            </w:pPr>
          </w:p>
          <w:p>
            <w:pPr>
              <w:spacing w:before="63" w:line="189" w:lineRule="auto"/>
              <w:ind w:left="212"/>
              <w:rPr>
                <w:rFonts w:ascii="Times New Roman" w:hAnsi="Times New Roman" w:eastAsia="Times New Roman" w:cs="Times New Roman"/>
                <w:color w:val="auto"/>
                <w:sz w:val="22"/>
                <w:highlight w:val="none"/>
              </w:rPr>
            </w:pPr>
            <w:r>
              <w:rPr>
                <w:rFonts w:ascii="Times New Roman" w:hAnsi="Times New Roman" w:eastAsia="Times New Roman" w:cs="Times New Roman"/>
                <w:color w:val="auto"/>
                <w:sz w:val="22"/>
                <w:highlight w:val="none"/>
              </w:rPr>
              <w:t>4</w:t>
            </w:r>
          </w:p>
        </w:tc>
        <w:tc>
          <w:tcPr>
            <w:tcW w:w="1000" w:type="pct"/>
            <w:tcBorders>
              <w:left w:val="single" w:color="000000" w:sz="4" w:space="0"/>
              <w:right w:val="single" w:color="000000" w:sz="4" w:space="0"/>
            </w:tcBorders>
          </w:tcPr>
          <w:p>
            <w:pPr>
              <w:spacing w:line="406" w:lineRule="auto"/>
              <w:rPr>
                <w:rFonts w:ascii="Arial"/>
                <w:color w:val="auto"/>
                <w:highlight w:val="none"/>
              </w:rPr>
            </w:pPr>
          </w:p>
          <w:p>
            <w:pPr>
              <w:spacing w:before="72" w:line="223" w:lineRule="auto"/>
              <w:ind w:left="208"/>
              <w:rPr>
                <w:rFonts w:ascii="仿宋" w:hAnsi="仿宋" w:eastAsia="仿宋" w:cs="仿宋"/>
                <w:color w:val="auto"/>
                <w:sz w:val="22"/>
                <w:highlight w:val="none"/>
              </w:rPr>
            </w:pPr>
            <w:r>
              <w:rPr>
                <w:rFonts w:ascii="仿宋" w:hAnsi="仿宋" w:eastAsia="仿宋" w:cs="仿宋"/>
                <w:color w:val="auto"/>
                <w:spacing w:val="-4"/>
                <w:sz w:val="22"/>
                <w:highlight w:val="none"/>
              </w:rPr>
              <w:t>合</w:t>
            </w:r>
            <w:r>
              <w:rPr>
                <w:rFonts w:ascii="仿宋" w:hAnsi="仿宋" w:eastAsia="仿宋" w:cs="仿宋"/>
                <w:color w:val="auto"/>
                <w:spacing w:val="-3"/>
                <w:sz w:val="22"/>
                <w:highlight w:val="none"/>
              </w:rPr>
              <w:t>同价款支付</w:t>
            </w:r>
          </w:p>
        </w:tc>
        <w:tc>
          <w:tcPr>
            <w:tcW w:w="3680" w:type="pct"/>
            <w:tcBorders>
              <w:left w:val="single" w:color="000000" w:sz="4" w:space="0"/>
              <w:right w:val="single" w:color="000000" w:sz="10" w:space="0"/>
            </w:tcBorders>
          </w:tcPr>
          <w:p>
            <w:pPr>
              <w:spacing w:line="221" w:lineRule="auto"/>
              <w:ind w:left="18"/>
              <w:rPr>
                <w:rFonts w:ascii="仿宋" w:hAnsi="仿宋" w:eastAsia="仿宋" w:cs="仿宋"/>
                <w:color w:val="auto"/>
                <w:spacing w:val="-2"/>
                <w:position w:val="12"/>
                <w:sz w:val="22"/>
                <w:highlight w:val="none"/>
              </w:rPr>
            </w:pPr>
            <w:r>
              <w:rPr>
                <w:rFonts w:hint="eastAsia" w:ascii="仿宋" w:hAnsi="仿宋" w:eastAsia="仿宋" w:cs="仿宋"/>
                <w:color w:val="auto"/>
                <w:spacing w:val="-2"/>
                <w:position w:val="12"/>
                <w:sz w:val="22"/>
                <w:highlight w:val="none"/>
              </w:rPr>
              <w:t>1.验收合格后，中标方提交付款申请书及有效票据，招标方需在 收到有效票据后10日内支付全部合同金额。</w:t>
            </w:r>
          </w:p>
          <w:p>
            <w:pPr>
              <w:spacing w:line="221" w:lineRule="auto"/>
              <w:ind w:left="18"/>
              <w:rPr>
                <w:rFonts w:ascii="仿宋" w:hAnsi="仿宋" w:eastAsia="仿宋" w:cs="仿宋"/>
                <w:color w:val="auto"/>
                <w:sz w:val="22"/>
                <w:highlight w:val="none"/>
              </w:rPr>
            </w:pPr>
            <w:r>
              <w:rPr>
                <w:rFonts w:hint="eastAsia" w:ascii="仿宋" w:hAnsi="仿宋" w:eastAsia="仿宋" w:cs="仿宋"/>
                <w:color w:val="auto"/>
                <w:spacing w:val="-2"/>
                <w:position w:val="12"/>
                <w:sz w:val="22"/>
                <w:highlight w:val="none"/>
              </w:rPr>
              <w:t>2.本项目未支付的合同金额不计利息。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4" w:hRule="atLeast"/>
        </w:trPr>
        <w:tc>
          <w:tcPr>
            <w:tcW w:w="319" w:type="pct"/>
            <w:tcBorders>
              <w:left w:val="single" w:color="000000" w:sz="10" w:space="0"/>
              <w:right w:val="single" w:color="000000" w:sz="4" w:space="0"/>
            </w:tcBorders>
          </w:tcPr>
          <w:p>
            <w:pPr>
              <w:spacing w:line="261" w:lineRule="auto"/>
              <w:rPr>
                <w:rFonts w:ascii="Arial"/>
                <w:color w:val="auto"/>
                <w:highlight w:val="none"/>
              </w:rPr>
            </w:pPr>
          </w:p>
          <w:p>
            <w:pPr>
              <w:spacing w:before="63" w:line="186" w:lineRule="auto"/>
              <w:ind w:left="219"/>
              <w:rPr>
                <w:rFonts w:ascii="Times New Roman" w:hAnsi="Times New Roman" w:eastAsia="Times New Roman" w:cs="Times New Roman"/>
                <w:color w:val="auto"/>
                <w:sz w:val="22"/>
                <w:highlight w:val="none"/>
              </w:rPr>
            </w:pPr>
            <w:r>
              <w:rPr>
                <w:rFonts w:ascii="Times New Roman" w:hAnsi="Times New Roman" w:eastAsia="Times New Roman" w:cs="Times New Roman"/>
                <w:color w:val="auto"/>
                <w:sz w:val="22"/>
                <w:highlight w:val="none"/>
              </w:rPr>
              <w:t>5</w:t>
            </w:r>
          </w:p>
        </w:tc>
        <w:tc>
          <w:tcPr>
            <w:tcW w:w="1000" w:type="pct"/>
            <w:tcBorders>
              <w:left w:val="single" w:color="000000" w:sz="4" w:space="0"/>
              <w:right w:val="single" w:color="000000" w:sz="4" w:space="0"/>
            </w:tcBorders>
          </w:tcPr>
          <w:p>
            <w:pPr>
              <w:spacing w:before="285" w:line="223" w:lineRule="auto"/>
              <w:ind w:left="422"/>
              <w:rPr>
                <w:rFonts w:ascii="仿宋" w:hAnsi="仿宋" w:eastAsia="仿宋" w:cs="仿宋"/>
                <w:color w:val="auto"/>
                <w:sz w:val="22"/>
                <w:highlight w:val="none"/>
              </w:rPr>
            </w:pPr>
            <w:r>
              <w:rPr>
                <w:rFonts w:ascii="仿宋" w:hAnsi="仿宋" w:eastAsia="仿宋" w:cs="仿宋"/>
                <w:color w:val="auto"/>
                <w:spacing w:val="-4"/>
                <w:sz w:val="22"/>
                <w:highlight w:val="none"/>
              </w:rPr>
              <w:t>验</w:t>
            </w:r>
            <w:r>
              <w:rPr>
                <w:rFonts w:ascii="仿宋" w:hAnsi="仿宋" w:eastAsia="仿宋" w:cs="仿宋"/>
                <w:color w:val="auto"/>
                <w:spacing w:val="-3"/>
                <w:sz w:val="22"/>
                <w:highlight w:val="none"/>
              </w:rPr>
              <w:t>收标准</w:t>
            </w:r>
          </w:p>
        </w:tc>
        <w:tc>
          <w:tcPr>
            <w:tcW w:w="3680" w:type="pct"/>
            <w:tcBorders>
              <w:left w:val="single" w:color="000000" w:sz="4" w:space="0"/>
              <w:right w:val="single" w:color="000000" w:sz="10" w:space="0"/>
            </w:tcBorders>
          </w:tcPr>
          <w:p>
            <w:pPr>
              <w:spacing w:line="221" w:lineRule="auto"/>
              <w:ind w:left="18"/>
              <w:rPr>
                <w:rFonts w:ascii="仿宋" w:hAnsi="仿宋" w:eastAsia="仿宋" w:cs="仿宋"/>
                <w:color w:val="auto"/>
                <w:sz w:val="22"/>
                <w:highlight w:val="none"/>
              </w:rPr>
            </w:pPr>
            <w:r>
              <w:rPr>
                <w:rFonts w:ascii="仿宋" w:hAnsi="仿宋" w:eastAsia="仿宋" w:cs="仿宋"/>
                <w:color w:val="auto"/>
                <w:spacing w:val="-4"/>
                <w:position w:val="12"/>
                <w:sz w:val="22"/>
                <w:highlight w:val="none"/>
              </w:rPr>
              <w:t>按</w:t>
            </w:r>
            <w:r>
              <w:rPr>
                <w:rFonts w:hint="eastAsia" w:ascii="仿宋" w:hAnsi="仿宋" w:eastAsia="仿宋" w:cs="仿宋"/>
                <w:color w:val="auto"/>
                <w:spacing w:val="-2"/>
                <w:position w:val="12"/>
                <w:sz w:val="22"/>
                <w:highlight w:val="none"/>
              </w:rPr>
              <w:t>国家有关规定、招标文件要求、供应商的投标文件及承诺以及合同约定标准规定进行验收。完成合同约定内容，向采购人提供完整的数据分析报告和整改意见书，并做现场汇报，采购人签字认可，即验收合格。</w:t>
            </w:r>
          </w:p>
        </w:tc>
      </w:tr>
    </w:tbl>
    <w:p>
      <w:pPr>
        <w:snapToGrid w:val="0"/>
        <w:spacing w:line="560" w:lineRule="exact"/>
        <w:ind w:firstLine="562" w:firstLineChars="200"/>
        <w:textAlignment w:val="baseline"/>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（二）保密要求：</w:t>
      </w:r>
    </w:p>
    <w:p>
      <w:pPr>
        <w:snapToGrid w:val="0"/>
        <w:spacing w:line="560" w:lineRule="exact"/>
        <w:ind w:left="17" w:leftChars="8" w:firstLine="604" w:firstLineChars="216"/>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在未经采购人许可的情况下，应保证采购人及本项目服务内容涉及的所有相关数据、技术资料等不泄密，更不准将采购人及本项目服务内容涉及的各类信息泄露给他人，否则按照《中华人民共和国保守国家秘密法》等法律规定追究相关人员责任。</w:t>
      </w:r>
    </w:p>
    <w:p>
      <w:pPr>
        <w:adjustRightInd w:val="0"/>
        <w:snapToGrid w:val="0"/>
        <w:spacing w:line="360" w:lineRule="auto"/>
        <w:ind w:firstLine="560" w:firstLineChars="200"/>
        <w:jc w:val="left"/>
        <w:rPr>
          <w:rFonts w:ascii="仿宋" w:hAnsi="仿宋" w:eastAsia="仿宋" w:cs="仿宋"/>
          <w:b/>
          <w:color w:val="auto"/>
          <w:sz w:val="24"/>
          <w:szCs w:val="24"/>
          <w:highlight w:val="none"/>
        </w:rPr>
      </w:pPr>
      <w:r>
        <w:rPr>
          <w:rFonts w:hint="eastAsia" w:ascii="仿宋" w:hAnsi="仿宋" w:eastAsia="仿宋" w:cs="仿宋"/>
          <w:color w:val="auto"/>
          <w:sz w:val="28"/>
          <w:szCs w:val="28"/>
          <w:highlight w:val="none"/>
        </w:rPr>
        <w:t>2.保密期限：长期（包括合同履行期限届满后）。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06093"/>
    <w:multiLevelType w:val="singleLevel"/>
    <w:tmpl w:val="C4606093"/>
    <w:lvl w:ilvl="0" w:tentative="0">
      <w:start w:val="7"/>
      <w:numFmt w:val="chineseCounting"/>
      <w:suff w:val="nothing"/>
      <w:lvlText w:val="%1、"/>
      <w:lvlJc w:val="left"/>
      <w:rPr>
        <w:rFonts w:hint="eastAsia"/>
      </w:rPr>
    </w:lvl>
  </w:abstractNum>
  <w:abstractNum w:abstractNumId="1">
    <w:nsid w:val="2B37F9A4"/>
    <w:multiLevelType w:val="singleLevel"/>
    <w:tmpl w:val="2B37F9A4"/>
    <w:lvl w:ilvl="0" w:tentative="0">
      <w:start w:val="2"/>
      <w:numFmt w:val="chineseCounting"/>
      <w:suff w:val="nothing"/>
      <w:lvlText w:val="（%1）"/>
      <w:lvlJc w:val="left"/>
      <w:rPr>
        <w:rFonts w:hint="eastAsia"/>
      </w:rPr>
    </w:lvl>
  </w:abstractNum>
  <w:abstractNum w:abstractNumId="2">
    <w:nsid w:val="6279F702"/>
    <w:multiLevelType w:val="singleLevel"/>
    <w:tmpl w:val="6279F702"/>
    <w:lvl w:ilvl="0" w:tentative="0">
      <w:start w:val="2"/>
      <w:numFmt w:val="decimal"/>
      <w:suff w:val="nothing"/>
      <w:lvlText w:val="（%1）"/>
      <w:lvlJc w:val="left"/>
      <w:pPr>
        <w:ind w:left="15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MzkxMDRmMjJhNGM0OTk5OTZmYzNlMzU3YTA5MjYifQ=="/>
  </w:docVars>
  <w:rsids>
    <w:rsidRoot w:val="004F1734"/>
    <w:rsid w:val="000032B8"/>
    <w:rsid w:val="00007526"/>
    <w:rsid w:val="0002716C"/>
    <w:rsid w:val="00056B39"/>
    <w:rsid w:val="00063A9B"/>
    <w:rsid w:val="00073EA4"/>
    <w:rsid w:val="000D3FCF"/>
    <w:rsid w:val="000D467D"/>
    <w:rsid w:val="000E09C7"/>
    <w:rsid w:val="00110596"/>
    <w:rsid w:val="001A55D5"/>
    <w:rsid w:val="001B5631"/>
    <w:rsid w:val="001B63BF"/>
    <w:rsid w:val="001F386C"/>
    <w:rsid w:val="0020170B"/>
    <w:rsid w:val="00216BFD"/>
    <w:rsid w:val="00220FAF"/>
    <w:rsid w:val="00225BD1"/>
    <w:rsid w:val="0023058C"/>
    <w:rsid w:val="00242A51"/>
    <w:rsid w:val="00246081"/>
    <w:rsid w:val="0025048D"/>
    <w:rsid w:val="002B54E7"/>
    <w:rsid w:val="00334FA0"/>
    <w:rsid w:val="00351640"/>
    <w:rsid w:val="00371704"/>
    <w:rsid w:val="00396D9F"/>
    <w:rsid w:val="003B2530"/>
    <w:rsid w:val="004205E2"/>
    <w:rsid w:val="004307D2"/>
    <w:rsid w:val="00433CE4"/>
    <w:rsid w:val="004703A1"/>
    <w:rsid w:val="004970E4"/>
    <w:rsid w:val="004B27A1"/>
    <w:rsid w:val="004D2BEE"/>
    <w:rsid w:val="004E1BD9"/>
    <w:rsid w:val="004F1734"/>
    <w:rsid w:val="005238F0"/>
    <w:rsid w:val="005648B0"/>
    <w:rsid w:val="00571BA2"/>
    <w:rsid w:val="0059092C"/>
    <w:rsid w:val="005A3A24"/>
    <w:rsid w:val="005A4F8D"/>
    <w:rsid w:val="005C5A53"/>
    <w:rsid w:val="005D0A12"/>
    <w:rsid w:val="005D4267"/>
    <w:rsid w:val="005E16E6"/>
    <w:rsid w:val="005E68B7"/>
    <w:rsid w:val="00630A0B"/>
    <w:rsid w:val="0064032E"/>
    <w:rsid w:val="006647E0"/>
    <w:rsid w:val="00670853"/>
    <w:rsid w:val="006A2DA8"/>
    <w:rsid w:val="006C3137"/>
    <w:rsid w:val="006D5877"/>
    <w:rsid w:val="006E78B2"/>
    <w:rsid w:val="007144D3"/>
    <w:rsid w:val="00730791"/>
    <w:rsid w:val="007700D4"/>
    <w:rsid w:val="0077205D"/>
    <w:rsid w:val="007C6463"/>
    <w:rsid w:val="00812E10"/>
    <w:rsid w:val="00825983"/>
    <w:rsid w:val="0085369F"/>
    <w:rsid w:val="008860DD"/>
    <w:rsid w:val="00897482"/>
    <w:rsid w:val="008A47B0"/>
    <w:rsid w:val="008B0450"/>
    <w:rsid w:val="008B656B"/>
    <w:rsid w:val="008F3206"/>
    <w:rsid w:val="009162AC"/>
    <w:rsid w:val="009211DE"/>
    <w:rsid w:val="009366DF"/>
    <w:rsid w:val="0095151C"/>
    <w:rsid w:val="00963EF8"/>
    <w:rsid w:val="009673A7"/>
    <w:rsid w:val="00986163"/>
    <w:rsid w:val="009A5A6D"/>
    <w:rsid w:val="00A00511"/>
    <w:rsid w:val="00A44BD5"/>
    <w:rsid w:val="00A656E8"/>
    <w:rsid w:val="00A73A52"/>
    <w:rsid w:val="00A73F5F"/>
    <w:rsid w:val="00A81B98"/>
    <w:rsid w:val="00AC7A39"/>
    <w:rsid w:val="00B1407A"/>
    <w:rsid w:val="00B21C82"/>
    <w:rsid w:val="00B31F22"/>
    <w:rsid w:val="00B37B6B"/>
    <w:rsid w:val="00B7033D"/>
    <w:rsid w:val="00B820D7"/>
    <w:rsid w:val="00BB0282"/>
    <w:rsid w:val="00BC78B3"/>
    <w:rsid w:val="00BE1142"/>
    <w:rsid w:val="00C478FB"/>
    <w:rsid w:val="00C60DEA"/>
    <w:rsid w:val="00C629BC"/>
    <w:rsid w:val="00C83912"/>
    <w:rsid w:val="00CA4702"/>
    <w:rsid w:val="00D13BFF"/>
    <w:rsid w:val="00D22FE3"/>
    <w:rsid w:val="00D319B7"/>
    <w:rsid w:val="00D66550"/>
    <w:rsid w:val="00DC3FF0"/>
    <w:rsid w:val="00DE43D7"/>
    <w:rsid w:val="00DE4FEF"/>
    <w:rsid w:val="00DF1604"/>
    <w:rsid w:val="00DF4392"/>
    <w:rsid w:val="00E0033E"/>
    <w:rsid w:val="00E27CF3"/>
    <w:rsid w:val="00E46943"/>
    <w:rsid w:val="00E52B6E"/>
    <w:rsid w:val="00E62A40"/>
    <w:rsid w:val="00E81FB9"/>
    <w:rsid w:val="00EE3F84"/>
    <w:rsid w:val="00EF6136"/>
    <w:rsid w:val="00F11C7A"/>
    <w:rsid w:val="00F129BB"/>
    <w:rsid w:val="00F163A8"/>
    <w:rsid w:val="00F26741"/>
    <w:rsid w:val="00F51A8F"/>
    <w:rsid w:val="00F54D6B"/>
    <w:rsid w:val="00F600A6"/>
    <w:rsid w:val="00F67552"/>
    <w:rsid w:val="00FA006E"/>
    <w:rsid w:val="00FB28F6"/>
    <w:rsid w:val="00FC0CC7"/>
    <w:rsid w:val="00FD50A5"/>
    <w:rsid w:val="00FE58F1"/>
    <w:rsid w:val="02D82AEA"/>
    <w:rsid w:val="228243D0"/>
    <w:rsid w:val="2FC94BD8"/>
    <w:rsid w:val="331E4C42"/>
    <w:rsid w:val="543008C9"/>
    <w:rsid w:val="5521355C"/>
    <w:rsid w:val="562468CA"/>
    <w:rsid w:val="58D378CC"/>
    <w:rsid w:val="66516DE1"/>
    <w:rsid w:val="66B07457"/>
    <w:rsid w:val="6CCE59A2"/>
    <w:rsid w:val="7D036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rPr>
      <w:rFonts w:ascii="Times New Roman"/>
    </w:rPr>
  </w:style>
  <w:style w:type="paragraph" w:styleId="3">
    <w:name w:val="annotation text"/>
    <w:basedOn w:val="1"/>
    <w:link w:val="16"/>
    <w:semiHidden/>
    <w:unhideWhenUsed/>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rFonts w:ascii="宋体" w:hAnsi="宋体"/>
      <w:kern w:val="0"/>
      <w:sz w:val="24"/>
      <w:szCs w:val="24"/>
    </w:rPr>
  </w:style>
  <w:style w:type="character" w:styleId="10">
    <w:name w:val="Strong"/>
    <w:basedOn w:val="9"/>
    <w:qFormat/>
    <w:uiPriority w:val="22"/>
    <w:rPr>
      <w:b/>
      <w:bCs/>
    </w:rPr>
  </w:style>
  <w:style w:type="character" w:styleId="11">
    <w:name w:val="Hyperlink"/>
    <w:basedOn w:val="9"/>
    <w:semiHidden/>
    <w:unhideWhenUsed/>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6"/>
    <w:uiPriority w:val="99"/>
    <w:rPr>
      <w:sz w:val="18"/>
      <w:szCs w:val="18"/>
    </w:rPr>
  </w:style>
  <w:style w:type="character" w:customStyle="1" w:styleId="14">
    <w:name w:val="页脚 Char"/>
    <w:basedOn w:val="9"/>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Char"/>
    <w:basedOn w:val="9"/>
    <w:link w:val="3"/>
    <w:semiHidden/>
    <w:uiPriority w:val="99"/>
    <w:rPr>
      <w:kern w:val="2"/>
      <w:sz w:val="21"/>
      <w:szCs w:val="22"/>
    </w:rPr>
  </w:style>
  <w:style w:type="character" w:customStyle="1" w:styleId="17">
    <w:name w:val="批注框文本 Char"/>
    <w:basedOn w:val="9"/>
    <w:link w:val="4"/>
    <w:semiHidden/>
    <w:qFormat/>
    <w:uiPriority w:val="99"/>
    <w:rPr>
      <w:kern w:val="2"/>
      <w:sz w:val="18"/>
      <w:szCs w:val="18"/>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4097</Words>
  <Characters>4204</Characters>
  <Lines>32</Lines>
  <Paragraphs>9</Paragraphs>
  <TotalTime>8</TotalTime>
  <ScaleCrop>false</ScaleCrop>
  <LinksUpToDate>false</LinksUpToDate>
  <CharactersWithSpaces>4216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2022-03-28T11:31:00Z</dcterms:created>
  <dc:creator>ASUS</dc:creator>
  <cp:lastModifiedBy>盖碗茶</cp:lastModifiedBy>
  <dcterms:modified xsi:type="dcterms:W3CDTF">2023-04-04T02:47:43Z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32DDA9A34C0846F1B90093E1153BF20C_13</vt:lpwstr>
  </property>
</Properties>
</file>