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0"/>
          <w:szCs w:val="30"/>
        </w:rPr>
      </w:pPr>
    </w:p>
    <w:p>
      <w:pPr>
        <w:jc w:val="center"/>
        <w:rPr>
          <w:b/>
          <w:color w:val="auto"/>
          <w:sz w:val="30"/>
          <w:szCs w:val="30"/>
        </w:rPr>
      </w:pPr>
      <w:r>
        <w:rPr>
          <w:b/>
          <w:color w:val="auto"/>
          <w:sz w:val="30"/>
          <w:szCs w:val="30"/>
        </w:rPr>
        <w:t>自贡市中医医院临床试验伦理委员会</w:t>
      </w:r>
    </w:p>
    <w:p>
      <w:pPr>
        <w:jc w:val="center"/>
        <w:rPr>
          <w:b/>
          <w:color w:val="auto"/>
          <w:sz w:val="30"/>
          <w:szCs w:val="30"/>
        </w:rPr>
      </w:pPr>
    </w:p>
    <w:p>
      <w:pPr>
        <w:jc w:val="center"/>
        <w:rPr>
          <w:rFonts w:eastAsia="微软雅黑"/>
          <w:b/>
          <w:color w:val="auto"/>
          <w:sz w:val="44"/>
          <w:szCs w:val="44"/>
        </w:rPr>
      </w:pPr>
      <w:r>
        <w:rPr>
          <w:rFonts w:hAnsi="微软雅黑" w:eastAsia="微软雅黑"/>
          <w:b/>
          <w:color w:val="auto"/>
          <w:sz w:val="44"/>
          <w:szCs w:val="44"/>
        </w:rPr>
        <w:t>伦理委员会章程</w:t>
      </w:r>
    </w:p>
    <w:p>
      <w:pPr>
        <w:spacing w:line="360" w:lineRule="auto"/>
        <w:ind w:right="42" w:rightChars="20"/>
        <w:jc w:val="center"/>
        <w:rPr>
          <w:b/>
          <w:color w:val="auto"/>
          <w:sz w:val="44"/>
          <w:szCs w:val="44"/>
        </w:rPr>
      </w:pPr>
    </w:p>
    <w:p>
      <w:pPr>
        <w:spacing w:line="360" w:lineRule="auto"/>
        <w:ind w:right="42" w:rightChars="20"/>
        <w:jc w:val="center"/>
        <w:rPr>
          <w:b/>
          <w:color w:val="auto"/>
          <w:sz w:val="44"/>
          <w:szCs w:val="44"/>
        </w:rPr>
      </w:pPr>
    </w:p>
    <w:p>
      <w:pPr>
        <w:spacing w:line="360" w:lineRule="auto"/>
        <w:ind w:right="42" w:rightChars="20"/>
        <w:jc w:val="center"/>
        <w:rPr>
          <w:b/>
          <w:color w:val="auto"/>
          <w:sz w:val="44"/>
          <w:szCs w:val="44"/>
        </w:rPr>
      </w:pPr>
    </w:p>
    <w:p>
      <w:pPr>
        <w:spacing w:line="360" w:lineRule="auto"/>
        <w:ind w:right="42" w:rightChars="20"/>
        <w:jc w:val="center"/>
        <w:rPr>
          <w:b/>
          <w:color w:val="auto"/>
          <w:sz w:val="44"/>
          <w:szCs w:val="44"/>
        </w:rPr>
      </w:pPr>
    </w:p>
    <w:p>
      <w:pPr>
        <w:spacing w:line="360" w:lineRule="auto"/>
        <w:ind w:right="42" w:rightChars="20"/>
        <w:jc w:val="center"/>
        <w:rPr>
          <w:color w:val="auto"/>
          <w:sz w:val="28"/>
          <w:szCs w:val="28"/>
        </w:rPr>
      </w:pPr>
      <w:bookmarkStart w:id="0" w:name="_GoBack"/>
      <w:bookmarkEnd w:id="0"/>
    </w:p>
    <w:p>
      <w:pPr>
        <w:spacing w:line="360" w:lineRule="auto"/>
        <w:ind w:right="42" w:rightChars="20"/>
        <w:jc w:val="center"/>
        <w:rPr>
          <w:color w:val="auto"/>
          <w:sz w:val="28"/>
          <w:szCs w:val="28"/>
        </w:rPr>
      </w:pPr>
    </w:p>
    <w:p>
      <w:pPr>
        <w:spacing w:line="360" w:lineRule="auto"/>
        <w:ind w:right="42" w:rightChars="20"/>
        <w:jc w:val="center"/>
        <w:rPr>
          <w:color w:val="auto"/>
          <w:sz w:val="28"/>
          <w:szCs w:val="28"/>
        </w:rPr>
      </w:pPr>
    </w:p>
    <w:tbl>
      <w:tblPr>
        <w:tblStyle w:val="8"/>
        <w:tblpPr w:leftFromText="180" w:rightFromText="180" w:vertAnchor="text" w:horzAnchor="margin" w:tblpX="-176" w:tblpY="3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09"/>
        <w:gridCol w:w="1134"/>
        <w:gridCol w:w="1701"/>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文件类型</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105" w:firstLineChars="50"/>
              <w:rPr>
                <w:color w:val="auto"/>
                <w:kern w:val="0"/>
                <w:szCs w:val="21"/>
              </w:rPr>
            </w:pPr>
            <w:r>
              <w:rPr>
                <w:rFonts w:hAnsi="宋体"/>
                <w:color w:val="auto"/>
                <w:kern w:val="0"/>
                <w:szCs w:val="21"/>
              </w:rPr>
              <w:t>管理制度</w:t>
            </w:r>
            <w:r>
              <w:rPr>
                <w:color w:val="auto"/>
                <w:kern w:val="0"/>
                <w:szCs w:val="21"/>
              </w:rPr>
              <w:t>(A</w:t>
            </w:r>
            <w:r>
              <w:rPr>
                <w:rFonts w:hAnsi="宋体"/>
                <w:color w:val="auto"/>
                <w:kern w:val="0"/>
                <w:szCs w:val="21"/>
              </w:rPr>
              <w:t>类</w:t>
            </w:r>
            <w:r>
              <w:rPr>
                <w:color w:val="auto"/>
                <w:kern w:val="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120" w:firstLineChars="50"/>
              <w:rPr>
                <w:color w:val="auto"/>
                <w:kern w:val="0"/>
                <w:sz w:val="24"/>
                <w:szCs w:val="28"/>
              </w:rPr>
            </w:pPr>
            <w:r>
              <w:rPr>
                <w:rFonts w:hAnsi="黑体" w:eastAsia="黑体"/>
                <w:b/>
                <w:color w:val="auto"/>
                <w:sz w:val="24"/>
                <w:szCs w:val="28"/>
              </w:rPr>
              <w:t>版</w:t>
            </w:r>
            <w:r>
              <w:rPr>
                <w:rFonts w:eastAsia="黑体"/>
                <w:b/>
                <w:color w:val="auto"/>
                <w:sz w:val="24"/>
                <w:szCs w:val="28"/>
              </w:rPr>
              <w:t xml:space="preserve">  </w:t>
            </w:r>
            <w:r>
              <w:rPr>
                <w:rFonts w:hAnsi="黑体" w:eastAsia="黑体"/>
                <w:b/>
                <w:color w:val="auto"/>
                <w:sz w:val="24"/>
                <w:szCs w:val="28"/>
              </w:rPr>
              <w:t>本</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hint="eastAsia" w:eastAsia="宋体"/>
                <w:color w:val="auto"/>
                <w:kern w:val="0"/>
                <w:szCs w:val="21"/>
                <w:lang w:eastAsia="zh-CN"/>
              </w:rPr>
            </w:pPr>
            <w:r>
              <w:rPr>
                <w:rFonts w:hint="eastAsia"/>
                <w:color w:val="auto"/>
                <w:szCs w:val="21"/>
                <w:lang w:eastAsia="zh-CN"/>
              </w:rPr>
              <w:t>V2.0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文件编码</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bCs/>
                <w:color w:val="auto"/>
                <w:szCs w:val="21"/>
              </w:rPr>
              <w:t>ZGZEC-A-001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编订部门</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编订人</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color w:val="auto"/>
                <w:sz w:val="24"/>
                <w:szCs w:val="28"/>
              </w:rPr>
              <w:t xml:space="preserve"> </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编订日期</w:t>
            </w:r>
          </w:p>
        </w:tc>
        <w:tc>
          <w:tcPr>
            <w:tcW w:w="1985" w:type="dxa"/>
            <w:tcBorders>
              <w:top w:val="single" w:color="auto" w:sz="4" w:space="0"/>
              <w:left w:val="single" w:color="auto" w:sz="4" w:space="0"/>
              <w:bottom w:val="single" w:color="auto" w:sz="4" w:space="0"/>
              <w:right w:val="single" w:color="auto" w:sz="4" w:space="0"/>
            </w:tcBorders>
            <w:vAlign w:val="center"/>
          </w:tcPr>
          <w:p>
            <w:pPr>
              <w:ind w:right="110"/>
              <w:jc w:val="center"/>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审核部门</w:t>
            </w:r>
          </w:p>
        </w:tc>
        <w:tc>
          <w:tcPr>
            <w:tcW w:w="1809" w:type="dxa"/>
            <w:tcBorders>
              <w:top w:val="single" w:color="auto" w:sz="4" w:space="0"/>
              <w:left w:val="single" w:color="auto" w:sz="4" w:space="0"/>
              <w:bottom w:val="single" w:color="auto" w:sz="4" w:space="0"/>
              <w:right w:val="single" w:color="auto" w:sz="4" w:space="0"/>
            </w:tcBorders>
            <w:vAlign w:val="center"/>
          </w:tcPr>
          <w:p>
            <w:pPr>
              <w:ind w:firstLine="210" w:firstLineChars="100"/>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审核人</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auto"/>
                <w:sz w:val="20"/>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审核日期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jc w:val="center"/>
              <w:rPr>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颁发部门</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伦理委员会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8"/>
              </w:rPr>
            </w:pPr>
            <w:r>
              <w:rPr>
                <w:rFonts w:hAnsi="黑体" w:eastAsia="黑体"/>
                <w:b/>
                <w:color w:val="auto"/>
                <w:sz w:val="24"/>
                <w:szCs w:val="28"/>
              </w:rPr>
              <w:t>批准人</w:t>
            </w:r>
          </w:p>
        </w:tc>
        <w:tc>
          <w:tcPr>
            <w:tcW w:w="1701" w:type="dxa"/>
            <w:tcBorders>
              <w:top w:val="single" w:color="auto" w:sz="4" w:space="0"/>
              <w:left w:val="single" w:color="auto" w:sz="4" w:space="0"/>
              <w:bottom w:val="single" w:color="auto" w:sz="4" w:space="0"/>
              <w:right w:val="single" w:color="auto" w:sz="4" w:space="0"/>
            </w:tcBorders>
            <w:vAlign w:val="center"/>
          </w:tcPr>
          <w:p>
            <w:pPr>
              <w:rPr>
                <w:color w:val="auto"/>
                <w:sz w:val="20"/>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批准日期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firstLine="480" w:firstLineChars="200"/>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分发部门</w:t>
            </w:r>
          </w:p>
        </w:tc>
        <w:tc>
          <w:tcPr>
            <w:tcW w:w="4644"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rPr>
                <w:color w:val="auto"/>
                <w:szCs w:val="21"/>
              </w:rPr>
            </w:pPr>
            <w:r>
              <w:rPr>
                <w:color w:val="auto"/>
                <w:szCs w:val="21"/>
              </w:rPr>
              <w:t>伦理委员会办公室</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b/>
                <w:color w:val="auto"/>
                <w:sz w:val="24"/>
                <w:szCs w:val="28"/>
              </w:rPr>
            </w:pPr>
            <w:r>
              <w:rPr>
                <w:rFonts w:hAnsi="黑体" w:eastAsia="黑体"/>
                <w:b/>
                <w:color w:val="auto"/>
                <w:sz w:val="24"/>
                <w:szCs w:val="28"/>
              </w:rPr>
              <w:t>生效日期</w:t>
            </w:r>
          </w:p>
        </w:tc>
        <w:tc>
          <w:tcPr>
            <w:tcW w:w="1985" w:type="dxa"/>
            <w:tcBorders>
              <w:top w:val="single" w:color="auto" w:sz="4" w:space="0"/>
              <w:left w:val="single" w:color="auto" w:sz="4" w:space="0"/>
              <w:bottom w:val="single" w:color="auto" w:sz="4" w:space="0"/>
              <w:right w:val="single" w:color="auto" w:sz="4" w:space="0"/>
            </w:tcBorders>
            <w:vAlign w:val="center"/>
          </w:tcPr>
          <w:p>
            <w:pPr>
              <w:wordWrap w:val="0"/>
              <w:ind w:right="110" w:firstLine="480" w:firstLineChars="200"/>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464" w:type="dxa"/>
            <w:gridSpan w:val="6"/>
            <w:tcBorders>
              <w:top w:val="single" w:color="auto" w:sz="4" w:space="0"/>
              <w:left w:val="single" w:color="auto" w:sz="4" w:space="0"/>
              <w:bottom w:val="single" w:color="auto" w:sz="4" w:space="0"/>
              <w:right w:val="single" w:color="auto" w:sz="4" w:space="0"/>
            </w:tcBorders>
            <w:vAlign w:val="center"/>
          </w:tcPr>
          <w:p>
            <w:pPr>
              <w:ind w:right="-512" w:rightChars="-244"/>
              <w:rPr>
                <w:rFonts w:eastAsia="楷体"/>
                <w:color w:val="auto"/>
                <w:sz w:val="24"/>
                <w:szCs w:val="28"/>
              </w:rPr>
            </w:pPr>
            <w:r>
              <w:rPr>
                <w:rFonts w:hAnsi="楷体" w:eastAsia="楷体"/>
                <w:color w:val="auto"/>
                <w:szCs w:val="28"/>
              </w:rPr>
              <w:t>本文件为</w:t>
            </w:r>
            <w:r>
              <w:rPr>
                <w:rFonts w:eastAsia="楷体"/>
                <w:color w:val="auto"/>
                <w:szCs w:val="28"/>
              </w:rPr>
              <w:t>自贡市中医</w:t>
            </w:r>
            <w:r>
              <w:rPr>
                <w:rFonts w:hAnsi="楷体" w:eastAsia="楷体"/>
                <w:color w:val="auto"/>
                <w:szCs w:val="28"/>
              </w:rPr>
              <w:t>医院产权</w:t>
            </w:r>
            <w:r>
              <w:rPr>
                <w:rFonts w:eastAsia="楷体"/>
                <w:color w:val="auto"/>
                <w:szCs w:val="28"/>
              </w:rPr>
              <w:t>,</w:t>
            </w:r>
            <w:r>
              <w:rPr>
                <w:rFonts w:hAnsi="楷体" w:eastAsia="楷体"/>
                <w:color w:val="auto"/>
                <w:szCs w:val="28"/>
              </w:rPr>
              <w:t>所有机密未经相关部门许可</w:t>
            </w:r>
            <w:r>
              <w:rPr>
                <w:rFonts w:eastAsia="楷体"/>
                <w:color w:val="auto"/>
                <w:szCs w:val="28"/>
              </w:rPr>
              <w:t xml:space="preserve">, </w:t>
            </w:r>
            <w:r>
              <w:rPr>
                <w:rFonts w:hAnsi="楷体" w:eastAsia="楷体"/>
                <w:color w:val="auto"/>
                <w:szCs w:val="28"/>
              </w:rPr>
              <w:t>不得擅自使用、泄露、公布及出版</w:t>
            </w:r>
          </w:p>
        </w:tc>
      </w:tr>
    </w:tbl>
    <w:p>
      <w:pPr>
        <w:jc w:val="both"/>
        <w:rPr>
          <w:b/>
          <w:color w:val="auto"/>
          <w:sz w:val="30"/>
          <w:szCs w:val="30"/>
        </w:rPr>
      </w:pPr>
    </w:p>
    <w:p>
      <w:pPr>
        <w:jc w:val="center"/>
        <w:rPr>
          <w:rFonts w:eastAsia="微软雅黑"/>
          <w:b/>
          <w:color w:val="auto"/>
          <w:sz w:val="36"/>
          <w:szCs w:val="32"/>
        </w:rPr>
      </w:pPr>
      <w:r>
        <w:rPr>
          <w:rFonts w:hAnsiTheme="majorEastAsia" w:eastAsiaTheme="majorEastAsia"/>
          <w:b/>
          <w:color w:val="auto"/>
          <w:sz w:val="36"/>
          <w:szCs w:val="36"/>
        </w:rPr>
        <w:t>伦理委员会章程</w:t>
      </w:r>
    </w:p>
    <w:p>
      <w:pPr>
        <w:pStyle w:val="17"/>
        <w:numPr>
          <w:ilvl w:val="0"/>
          <w:numId w:val="1"/>
        </w:numPr>
        <w:spacing w:beforeLines="75" w:afterLines="75" w:line="360" w:lineRule="auto"/>
        <w:ind w:left="0" w:firstLine="0" w:firstLineChars="0"/>
        <w:jc w:val="center"/>
        <w:rPr>
          <w:rFonts w:ascii="Times New Roman" w:hAnsi="Times New Roman"/>
          <w:b/>
          <w:color w:val="auto"/>
          <w:sz w:val="28"/>
          <w:szCs w:val="28"/>
        </w:rPr>
      </w:pPr>
      <w:r>
        <w:rPr>
          <w:rFonts w:ascii="Times New Roman" w:hAnsi="宋体"/>
          <w:b/>
          <w:color w:val="auto"/>
          <w:sz w:val="28"/>
          <w:szCs w:val="28"/>
        </w:rPr>
        <w:t>总</w:t>
      </w:r>
      <w:r>
        <w:rPr>
          <w:rFonts w:ascii="Times New Roman" w:hAnsi="Times New Roman"/>
          <w:b/>
          <w:color w:val="auto"/>
          <w:sz w:val="28"/>
          <w:szCs w:val="28"/>
        </w:rPr>
        <w:t xml:space="preserve"> </w:t>
      </w:r>
      <w:r>
        <w:rPr>
          <w:rFonts w:ascii="Times New Roman" w:hAnsi="宋体"/>
          <w:b/>
          <w:color w:val="auto"/>
          <w:sz w:val="28"/>
          <w:szCs w:val="28"/>
        </w:rPr>
        <w:t>则</w:t>
      </w:r>
    </w:p>
    <w:p>
      <w:pPr>
        <w:spacing w:beforeLines="75" w:afterLines="75" w:line="360" w:lineRule="auto"/>
        <w:ind w:firstLine="482" w:firstLineChars="200"/>
        <w:rPr>
          <w:color w:val="auto"/>
          <w:sz w:val="24"/>
        </w:rPr>
      </w:pPr>
      <w:r>
        <w:rPr>
          <w:rFonts w:hAnsi="宋体"/>
          <w:b/>
          <w:color w:val="auto"/>
          <w:sz w:val="24"/>
        </w:rPr>
        <w:t>第一条</w:t>
      </w:r>
      <w:r>
        <w:rPr>
          <w:color w:val="auto"/>
          <w:sz w:val="24"/>
        </w:rPr>
        <w:t xml:space="preserve">  为了保护临床研究受试者的权益和安全，</w:t>
      </w:r>
      <w:r>
        <w:rPr>
          <w:rFonts w:hint="eastAsia"/>
          <w:color w:val="auto"/>
          <w:sz w:val="24"/>
        </w:rPr>
        <w:t>维护受试者的尊严，</w:t>
      </w:r>
      <w:r>
        <w:rPr>
          <w:color w:val="auto"/>
          <w:sz w:val="24"/>
        </w:rPr>
        <w:t>规范医院药物临床试验、医疗技术、临床科研活动的伦理委员会的组织管理与运行，保证医疗质量和医疗安全。为了更好的执行</w:t>
      </w:r>
      <w:r>
        <w:rPr>
          <w:rFonts w:hint="eastAsia"/>
          <w:color w:val="auto"/>
          <w:sz w:val="24"/>
        </w:rPr>
        <w:t>国家卫生健康委员会</w:t>
      </w:r>
      <w:r>
        <w:rPr>
          <w:color w:val="auto"/>
          <w:sz w:val="24"/>
        </w:rPr>
        <w:t>《涉及人的生物医学研究伦理审查办法》，国家药品监督管理局（NMPA）《药物临床试验质量管理规范》</w:t>
      </w:r>
      <w:r>
        <w:rPr>
          <w:rFonts w:hint="eastAsia"/>
          <w:color w:val="auto"/>
          <w:sz w:val="24"/>
        </w:rPr>
        <w:t>《医疗器械临床试验质量管理规范》</w:t>
      </w:r>
      <w:r>
        <w:rPr>
          <w:color w:val="auto"/>
          <w:sz w:val="24"/>
        </w:rPr>
        <w:t>和《药物临床试验伦理审查工作指导原则》等部门相关法律法规，特制定《自贡市中医医院伦理委员会章程》。</w:t>
      </w:r>
    </w:p>
    <w:p>
      <w:pPr>
        <w:spacing w:beforeLines="75" w:afterLines="75" w:line="360" w:lineRule="auto"/>
        <w:ind w:firstLine="482" w:firstLineChars="200"/>
        <w:jc w:val="left"/>
        <w:rPr>
          <w:color w:val="auto"/>
          <w:sz w:val="24"/>
        </w:rPr>
      </w:pPr>
      <w:r>
        <w:rPr>
          <w:b/>
          <w:color w:val="auto"/>
          <w:sz w:val="24"/>
        </w:rPr>
        <w:t xml:space="preserve">第二条  </w:t>
      </w:r>
      <w:r>
        <w:rPr>
          <w:color w:val="auto"/>
          <w:sz w:val="24"/>
        </w:rPr>
        <w:t>伦理委员会的宗旨</w:t>
      </w:r>
      <w:r>
        <w:rPr>
          <w:rFonts w:hint="eastAsia"/>
          <w:color w:val="auto"/>
          <w:sz w:val="24"/>
        </w:rPr>
        <w:t>是</w:t>
      </w:r>
      <w:r>
        <w:rPr>
          <w:color w:val="auto"/>
          <w:sz w:val="24"/>
        </w:rPr>
        <w:t>通过对临床研究项目的科学性、伦理合理性进行审查，确保受试者的尊严、权益和安全得到保护，促进生物医学研究达到科学和伦理的高标准，增强对药物临床试验科学、健康地发展，增强公众对药物临床试验的信任和支持。</w:t>
      </w:r>
    </w:p>
    <w:p>
      <w:pPr>
        <w:pStyle w:val="17"/>
        <w:numPr>
          <w:ilvl w:val="0"/>
          <w:numId w:val="1"/>
        </w:numPr>
        <w:spacing w:beforeLines="75" w:afterLines="75" w:line="360" w:lineRule="auto"/>
        <w:ind w:left="0" w:firstLine="0" w:firstLineChars="0"/>
        <w:jc w:val="center"/>
        <w:rPr>
          <w:rFonts w:ascii="Times New Roman" w:hAnsi="宋体"/>
          <w:b/>
          <w:color w:val="auto"/>
          <w:sz w:val="28"/>
          <w:szCs w:val="28"/>
        </w:rPr>
      </w:pPr>
      <w:r>
        <w:rPr>
          <w:rFonts w:ascii="Times New Roman" w:hAnsi="宋体"/>
          <w:b/>
          <w:color w:val="auto"/>
          <w:sz w:val="28"/>
          <w:szCs w:val="28"/>
        </w:rPr>
        <w:t>组织</w:t>
      </w:r>
    </w:p>
    <w:p>
      <w:pPr>
        <w:spacing w:beforeLines="75" w:afterLines="75" w:line="360" w:lineRule="auto"/>
        <w:ind w:firstLine="482" w:firstLineChars="200"/>
        <w:rPr>
          <w:color w:val="auto"/>
          <w:sz w:val="24"/>
        </w:rPr>
      </w:pPr>
      <w:r>
        <w:rPr>
          <w:rFonts w:hAnsi="宋体"/>
          <w:b/>
          <w:color w:val="auto"/>
          <w:sz w:val="24"/>
        </w:rPr>
        <w:t>第三条</w:t>
      </w:r>
      <w:r>
        <w:rPr>
          <w:color w:val="auto"/>
          <w:sz w:val="24"/>
        </w:rPr>
        <w:t xml:space="preserve"> </w:t>
      </w:r>
      <w:r>
        <w:rPr>
          <w:rFonts w:hint="eastAsia"/>
          <w:color w:val="auto"/>
          <w:sz w:val="24"/>
        </w:rPr>
        <w:t xml:space="preserve"> </w:t>
      </w:r>
      <w:r>
        <w:rPr>
          <w:rFonts w:hAnsi="宋体"/>
          <w:color w:val="auto"/>
          <w:sz w:val="24"/>
        </w:rPr>
        <w:t>伦理委员会名称：</w:t>
      </w:r>
      <w:r>
        <w:rPr>
          <w:color w:val="auto"/>
          <w:sz w:val="24"/>
        </w:rPr>
        <w:t>自贡市中医</w:t>
      </w:r>
      <w:r>
        <w:rPr>
          <w:rFonts w:hAnsi="宋体"/>
          <w:color w:val="auto"/>
          <w:sz w:val="24"/>
        </w:rPr>
        <w:t>医院临床试验伦理委员会</w:t>
      </w:r>
    </w:p>
    <w:p>
      <w:pPr>
        <w:spacing w:beforeLines="75" w:afterLines="75" w:line="360" w:lineRule="auto"/>
        <w:ind w:firstLine="482" w:firstLineChars="200"/>
        <w:rPr>
          <w:color w:val="auto"/>
          <w:sz w:val="24"/>
        </w:rPr>
      </w:pPr>
      <w:r>
        <w:rPr>
          <w:rFonts w:hAnsi="宋体"/>
          <w:b/>
          <w:color w:val="auto"/>
          <w:sz w:val="24"/>
        </w:rPr>
        <w:t>第四条</w:t>
      </w:r>
      <w:r>
        <w:rPr>
          <w:color w:val="auto"/>
          <w:sz w:val="24"/>
        </w:rPr>
        <w:t xml:space="preserve"> </w:t>
      </w:r>
      <w:r>
        <w:rPr>
          <w:rFonts w:hint="eastAsia"/>
          <w:color w:val="auto"/>
          <w:sz w:val="24"/>
        </w:rPr>
        <w:t xml:space="preserve"> </w:t>
      </w:r>
      <w:r>
        <w:rPr>
          <w:rFonts w:hAnsi="宋体"/>
          <w:color w:val="auto"/>
          <w:sz w:val="24"/>
        </w:rPr>
        <w:t>伦理委员会地址：</w:t>
      </w:r>
      <w:r>
        <w:rPr>
          <w:rFonts w:hint="eastAsia" w:hAnsi="宋体"/>
          <w:color w:val="auto"/>
          <w:sz w:val="24"/>
        </w:rPr>
        <w:t>四川省自贡市自流井区龙汇南街1000号</w:t>
      </w:r>
    </w:p>
    <w:p>
      <w:pPr>
        <w:spacing w:beforeLines="75" w:afterLines="75" w:line="360" w:lineRule="auto"/>
        <w:ind w:firstLine="482" w:firstLineChars="200"/>
        <w:rPr>
          <w:color w:val="auto"/>
          <w:sz w:val="24"/>
        </w:rPr>
      </w:pPr>
      <w:r>
        <w:rPr>
          <w:rFonts w:hAnsi="宋体"/>
          <w:b/>
          <w:color w:val="auto"/>
          <w:sz w:val="24"/>
        </w:rPr>
        <w:t>第五条</w:t>
      </w:r>
      <w:r>
        <w:rPr>
          <w:color w:val="auto"/>
          <w:sz w:val="24"/>
        </w:rPr>
        <w:t xml:space="preserve"> </w:t>
      </w:r>
      <w:r>
        <w:rPr>
          <w:rFonts w:hint="eastAsia"/>
          <w:color w:val="auto"/>
          <w:sz w:val="24"/>
        </w:rPr>
        <w:t xml:space="preserve"> </w:t>
      </w:r>
      <w:r>
        <w:rPr>
          <w:color w:val="auto"/>
          <w:sz w:val="24"/>
        </w:rPr>
        <w:t>自贡市中医</w:t>
      </w:r>
      <w:r>
        <w:rPr>
          <w:rFonts w:hAnsi="宋体"/>
          <w:color w:val="auto"/>
          <w:sz w:val="24"/>
        </w:rPr>
        <w:t>医院临床试验伦理委员会隶属于本医院。医院根据伦理审查的范围，确定伦理委员会的组织架构；根据审查项目的数量，设置伦理委员会分会。医院设置伦理委员会办公室。</w:t>
      </w:r>
    </w:p>
    <w:p>
      <w:pPr>
        <w:spacing w:beforeLines="75" w:afterLines="75" w:line="360" w:lineRule="auto"/>
        <w:ind w:firstLine="482" w:firstLineChars="200"/>
        <w:rPr>
          <w:color w:val="auto"/>
          <w:sz w:val="24"/>
        </w:rPr>
      </w:pPr>
      <w:r>
        <w:rPr>
          <w:b/>
          <w:color w:val="auto"/>
          <w:sz w:val="24"/>
        </w:rPr>
        <w:t>第六条</w:t>
      </w:r>
      <w:r>
        <w:rPr>
          <w:color w:val="auto"/>
          <w:sz w:val="24"/>
        </w:rPr>
        <w:t xml:space="preserve"> </w:t>
      </w:r>
      <w:r>
        <w:rPr>
          <w:rFonts w:hint="eastAsia"/>
          <w:color w:val="auto"/>
          <w:sz w:val="24"/>
        </w:rPr>
        <w:t xml:space="preserve"> </w:t>
      </w:r>
      <w:r>
        <w:rPr>
          <w:color w:val="auto"/>
          <w:sz w:val="24"/>
        </w:rPr>
        <w:t>伦理委员会</w:t>
      </w:r>
      <w:r>
        <w:rPr>
          <w:rFonts w:hint="eastAsia"/>
          <w:color w:val="auto"/>
          <w:sz w:val="24"/>
        </w:rPr>
        <w:t>由医学、药学及其他背景人员组成，</w:t>
      </w:r>
      <w:r>
        <w:rPr>
          <w:color w:val="auto"/>
          <w:sz w:val="24"/>
        </w:rPr>
        <w:t>对本单位承担的以及本单位以内实施的医学科学技术研究进行独立地审查、同意、跟踪审查试验方案及相关文件、获得和记录受试者知情同意所用的方法和材料等，确保受试者的权益、安全受到保护。审查范围包括药物临床试验项目，医疗器械临床试验项目，涉及人的临床科研项目（包括临床流行病学研究，利用人的医疗记录和个人信息的研究，利用人的生物标本的研究等）。伦理审查类别包括初始审查、跟踪审查和复审。伦理委员会</w:t>
      </w:r>
      <w:r>
        <w:rPr>
          <w:rFonts w:hint="eastAsia"/>
          <w:color w:val="auto"/>
          <w:sz w:val="24"/>
        </w:rPr>
        <w:t>秘书</w:t>
      </w:r>
      <w:r>
        <w:rPr>
          <w:color w:val="auto"/>
          <w:sz w:val="24"/>
        </w:rPr>
        <w:t>负责伦理委员会日常行政事务的管理工作。</w:t>
      </w:r>
    </w:p>
    <w:p>
      <w:pPr>
        <w:spacing w:beforeLines="75" w:afterLines="75" w:line="360" w:lineRule="auto"/>
        <w:ind w:firstLine="482" w:firstLineChars="200"/>
        <w:rPr>
          <w:color w:val="auto"/>
          <w:sz w:val="24"/>
        </w:rPr>
      </w:pPr>
      <w:r>
        <w:rPr>
          <w:b/>
          <w:color w:val="auto"/>
          <w:sz w:val="24"/>
        </w:rPr>
        <w:t>第七条</w:t>
      </w:r>
      <w:r>
        <w:rPr>
          <w:color w:val="auto"/>
          <w:sz w:val="24"/>
        </w:rPr>
        <w:t xml:space="preserve"> </w:t>
      </w:r>
      <w:r>
        <w:rPr>
          <w:rFonts w:hint="eastAsia"/>
          <w:color w:val="auto"/>
          <w:sz w:val="24"/>
        </w:rPr>
        <w:t xml:space="preserve"> </w:t>
      </w:r>
      <w:r>
        <w:rPr>
          <w:color w:val="auto"/>
          <w:sz w:val="24"/>
        </w:rPr>
        <w:t>伦理委员会的运行必须独立于申办者、研究者，并避免任何不适当影响。伦理委员会有权批准/不批准一项临床研究，对批准的临床研究进行跟踪审查，终止或暂停已经批准的临床研究。</w:t>
      </w:r>
    </w:p>
    <w:p>
      <w:pPr>
        <w:spacing w:beforeLines="75" w:afterLines="75" w:line="360" w:lineRule="auto"/>
        <w:ind w:firstLine="482" w:firstLineChars="200"/>
        <w:rPr>
          <w:color w:val="auto"/>
          <w:sz w:val="24"/>
        </w:rPr>
      </w:pPr>
      <w:r>
        <w:rPr>
          <w:b/>
          <w:color w:val="auto"/>
          <w:sz w:val="24"/>
        </w:rPr>
        <w:t>第八条</w:t>
      </w:r>
      <w:r>
        <w:rPr>
          <w:color w:val="auto"/>
          <w:sz w:val="24"/>
        </w:rPr>
        <w:t xml:space="preserve"> </w:t>
      </w:r>
      <w:r>
        <w:rPr>
          <w:rFonts w:hint="eastAsia"/>
          <w:color w:val="auto"/>
          <w:sz w:val="24"/>
        </w:rPr>
        <w:t xml:space="preserve"> </w:t>
      </w:r>
      <w:r>
        <w:rPr>
          <w:color w:val="auto"/>
          <w:sz w:val="24"/>
        </w:rPr>
        <w:t>医院为伦理委员会提供独立办公室，必要的办公条件，有可利用的档案室和会议室，以满足其职能的需求。医院任命足够数量的伦理委员</w:t>
      </w:r>
      <w:r>
        <w:rPr>
          <w:rFonts w:hint="eastAsia"/>
          <w:color w:val="auto"/>
          <w:sz w:val="24"/>
        </w:rPr>
        <w:t>、</w:t>
      </w:r>
      <w:r>
        <w:rPr>
          <w:color w:val="auto"/>
          <w:sz w:val="24"/>
        </w:rPr>
        <w:t>秘书以满足伦理委员会高质量工作的需求。医院为委员、独立顾问、秘书提供充足的培训，使其能够胜任工作。</w:t>
      </w:r>
    </w:p>
    <w:p>
      <w:pPr>
        <w:spacing w:beforeLines="75" w:afterLines="75" w:line="360" w:lineRule="auto"/>
        <w:ind w:firstLine="482" w:firstLineChars="200"/>
        <w:rPr>
          <w:rFonts w:hAnsi="宋体"/>
          <w:b/>
          <w:color w:val="auto"/>
          <w:sz w:val="28"/>
          <w:szCs w:val="28"/>
        </w:rPr>
      </w:pPr>
      <w:r>
        <w:rPr>
          <w:b/>
          <w:color w:val="auto"/>
          <w:sz w:val="24"/>
        </w:rPr>
        <w:t>第九条</w:t>
      </w:r>
      <w:r>
        <w:rPr>
          <w:color w:val="auto"/>
          <w:sz w:val="24"/>
        </w:rPr>
        <w:t xml:space="preserve">  </w:t>
      </w:r>
      <w:r>
        <w:rPr>
          <w:rFonts w:hint="eastAsia"/>
          <w:color w:val="auto"/>
          <w:sz w:val="24"/>
        </w:rPr>
        <w:t>伦理委员会</w:t>
      </w:r>
      <w:r>
        <w:rPr>
          <w:color w:val="auto"/>
          <w:sz w:val="24"/>
        </w:rPr>
        <w:t>经费</w:t>
      </w:r>
      <w:r>
        <w:rPr>
          <w:rFonts w:hint="eastAsia"/>
          <w:color w:val="auto"/>
          <w:sz w:val="24"/>
        </w:rPr>
        <w:t>划入医院财务账户，由伦理委员会秘书统一规划分配管理。</w:t>
      </w:r>
    </w:p>
    <w:p>
      <w:pPr>
        <w:spacing w:beforeLines="75" w:afterLines="75" w:line="360" w:lineRule="auto"/>
        <w:ind w:firstLine="562" w:firstLineChars="200"/>
        <w:jc w:val="center"/>
        <w:rPr>
          <w:b/>
          <w:color w:val="auto"/>
          <w:sz w:val="24"/>
        </w:rPr>
      </w:pPr>
      <w:r>
        <w:rPr>
          <w:rFonts w:hAnsi="宋体"/>
          <w:b/>
          <w:color w:val="auto"/>
          <w:sz w:val="28"/>
          <w:szCs w:val="28"/>
        </w:rPr>
        <w:t>第三章</w:t>
      </w:r>
      <w:r>
        <w:rPr>
          <w:b/>
          <w:color w:val="auto"/>
          <w:sz w:val="28"/>
          <w:szCs w:val="28"/>
        </w:rPr>
        <w:t xml:space="preserve"> </w:t>
      </w:r>
      <w:r>
        <w:rPr>
          <w:rFonts w:hAnsi="宋体"/>
          <w:b/>
          <w:color w:val="auto"/>
          <w:sz w:val="28"/>
          <w:szCs w:val="28"/>
        </w:rPr>
        <w:t>组建、换届与责任</w:t>
      </w:r>
    </w:p>
    <w:p>
      <w:pPr>
        <w:spacing w:beforeLines="75" w:afterLines="75" w:line="360" w:lineRule="auto"/>
        <w:ind w:firstLine="482" w:firstLineChars="200"/>
        <w:rPr>
          <w:rFonts w:hAnsi="宋体"/>
          <w:color w:val="auto"/>
          <w:sz w:val="24"/>
        </w:rPr>
      </w:pPr>
      <w:r>
        <w:rPr>
          <w:rFonts w:hAnsi="宋体"/>
          <w:b/>
          <w:color w:val="auto"/>
          <w:sz w:val="24"/>
        </w:rPr>
        <w:t>第十条</w:t>
      </w:r>
      <w:r>
        <w:rPr>
          <w:color w:val="auto"/>
          <w:sz w:val="24"/>
        </w:rPr>
        <w:t xml:space="preserve">  </w:t>
      </w:r>
      <w:r>
        <w:rPr>
          <w:rFonts w:hAnsi="宋体"/>
          <w:color w:val="auto"/>
          <w:sz w:val="24"/>
        </w:rPr>
        <w:t>伦理委员会委员的组成和数量应与所审查项目的专业类别和数量相符。伦理委员会的委员组成包含医药专业、非医药专业、法律专家、与研究项目的组织者和研究机构不存在行政隶属关系的外单位的人员</w:t>
      </w:r>
      <w:r>
        <w:rPr>
          <w:rFonts w:hint="eastAsia" w:hAnsi="宋体"/>
          <w:color w:val="auto"/>
          <w:sz w:val="24"/>
        </w:rPr>
        <w:t>、</w:t>
      </w:r>
      <w:r>
        <w:rPr>
          <w:rFonts w:hAnsi="宋体"/>
          <w:color w:val="auto"/>
          <w:sz w:val="24"/>
        </w:rPr>
        <w:t>从生物医学领域和伦理学、法学、社会学等领域的专家和非本机构的社会人士中遴选产生，人数不得少于</w:t>
      </w:r>
      <w:r>
        <w:rPr>
          <w:color w:val="auto"/>
          <w:sz w:val="24"/>
        </w:rPr>
        <w:t>7</w:t>
      </w:r>
      <w:r>
        <w:rPr>
          <w:rFonts w:hAnsi="宋体"/>
          <w:color w:val="auto"/>
          <w:sz w:val="24"/>
        </w:rPr>
        <w:t>人，并有不同性别的委员。</w:t>
      </w:r>
    </w:p>
    <w:p>
      <w:pPr>
        <w:spacing w:beforeLines="75" w:afterLines="75" w:line="360" w:lineRule="auto"/>
        <w:ind w:firstLine="482" w:firstLineChars="200"/>
        <w:rPr>
          <w:color w:val="auto"/>
          <w:sz w:val="24"/>
        </w:rPr>
      </w:pPr>
      <w:r>
        <w:rPr>
          <w:rFonts w:hAnsi="宋体"/>
          <w:b/>
          <w:color w:val="auto"/>
          <w:sz w:val="24"/>
        </w:rPr>
        <w:t>第十一条</w:t>
      </w:r>
      <w:r>
        <w:rPr>
          <w:b/>
          <w:color w:val="auto"/>
          <w:sz w:val="24"/>
        </w:rPr>
        <w:t xml:space="preserve">  </w:t>
      </w:r>
      <w:r>
        <w:rPr>
          <w:rFonts w:hint="eastAsia" w:hAnsi="宋体"/>
          <w:color w:val="auto"/>
          <w:sz w:val="24"/>
        </w:rPr>
        <w:t>伦理委员会成员采取推荐，征询本人意见形成候选人名单，经过筛选具备伦理审查资格后，由院长办公会会议讨论投票决定的方式产生。所有成员</w:t>
      </w:r>
      <w:r>
        <w:rPr>
          <w:rFonts w:hint="eastAsia" w:ascii="宋体" w:hAnsi="宋体"/>
          <w:color w:val="auto"/>
          <w:sz w:val="24"/>
        </w:rPr>
        <w:t>应能保证参加伦理审查的培训，能够审查临床试验相关的伦理学和科学等方面的问题；保证有足够的时间和精力参加审查工作。其任命和免除均须经</w:t>
      </w:r>
      <w:r>
        <w:rPr>
          <w:color w:val="auto"/>
          <w:sz w:val="24"/>
        </w:rPr>
        <w:t>自贡市中医</w:t>
      </w:r>
      <w:r>
        <w:rPr>
          <w:rFonts w:hint="eastAsia" w:ascii="宋体" w:hAnsi="宋体"/>
          <w:color w:val="auto"/>
          <w:sz w:val="24"/>
        </w:rPr>
        <w:t>医院批准，其组成、备案管理应当符合卫生健康主管部门的要求。</w:t>
      </w:r>
      <w:r>
        <w:rPr>
          <w:rFonts w:hAnsi="宋体"/>
          <w:color w:val="auto"/>
          <w:sz w:val="24"/>
        </w:rPr>
        <w:t>伦理委员会委员应向</w:t>
      </w:r>
      <w:r>
        <w:rPr>
          <w:rFonts w:hint="eastAsia" w:hAnsi="宋体"/>
          <w:color w:val="auto"/>
          <w:sz w:val="24"/>
        </w:rPr>
        <w:t>国家</w:t>
      </w:r>
      <w:r>
        <w:rPr>
          <w:rFonts w:hAnsi="宋体"/>
          <w:color w:val="auto"/>
          <w:sz w:val="24"/>
        </w:rPr>
        <w:t>药品监督管理局</w:t>
      </w:r>
      <w:r>
        <w:rPr>
          <w:rFonts w:hint="eastAsia" w:hAnsi="宋体"/>
          <w:color w:val="auto"/>
          <w:sz w:val="24"/>
        </w:rPr>
        <w:t>、</w:t>
      </w:r>
      <w:r>
        <w:rPr>
          <w:rFonts w:hAnsi="宋体"/>
          <w:color w:val="auto"/>
          <w:sz w:val="24"/>
        </w:rPr>
        <w:t>当地</w:t>
      </w:r>
      <w:r>
        <w:rPr>
          <w:rFonts w:hint="eastAsia" w:hAnsi="宋体"/>
          <w:color w:val="auto"/>
          <w:sz w:val="24"/>
        </w:rPr>
        <w:t>省级</w:t>
      </w:r>
      <w:r>
        <w:rPr>
          <w:rFonts w:hAnsi="宋体"/>
          <w:color w:val="auto"/>
          <w:sz w:val="24"/>
        </w:rPr>
        <w:t>药品监督管理局和相关部门备案。每届任期五年，可以连任。</w:t>
      </w:r>
    </w:p>
    <w:p>
      <w:pPr>
        <w:spacing w:beforeLines="75" w:afterLines="75" w:line="360" w:lineRule="auto"/>
        <w:ind w:firstLine="482" w:firstLineChars="200"/>
        <w:rPr>
          <w:rFonts w:hAnsi="宋体"/>
          <w:color w:val="auto"/>
          <w:sz w:val="24"/>
        </w:rPr>
      </w:pPr>
      <w:r>
        <w:rPr>
          <w:rFonts w:hAnsi="宋体"/>
          <w:b/>
          <w:color w:val="auto"/>
          <w:sz w:val="24"/>
        </w:rPr>
        <w:t>第十二条</w:t>
      </w:r>
      <w:r>
        <w:rPr>
          <w:color w:val="auto"/>
          <w:sz w:val="24"/>
        </w:rPr>
        <w:t xml:space="preserve">  </w:t>
      </w:r>
      <w:r>
        <w:rPr>
          <w:rFonts w:hAnsi="宋体"/>
          <w:color w:val="auto"/>
          <w:sz w:val="24"/>
        </w:rPr>
        <w:t>伦理委员会</w:t>
      </w:r>
      <w:r>
        <w:rPr>
          <w:rFonts w:hint="eastAsia" w:hAnsi="宋体"/>
          <w:color w:val="auto"/>
          <w:sz w:val="24"/>
        </w:rPr>
        <w:t>成员</w:t>
      </w:r>
      <w:r>
        <w:rPr>
          <w:rFonts w:hAnsi="宋体"/>
          <w:color w:val="auto"/>
          <w:sz w:val="24"/>
        </w:rPr>
        <w:t>应参加</w:t>
      </w:r>
      <w:r>
        <w:rPr>
          <w:rFonts w:hint="eastAsia" w:hAnsi="宋体"/>
          <w:color w:val="auto"/>
          <w:sz w:val="24"/>
          <w:lang w:val="en-US" w:eastAsia="zh-CN"/>
        </w:rPr>
        <w:t>药物</w:t>
      </w:r>
      <w:r>
        <w:rPr>
          <w:color w:val="auto"/>
          <w:sz w:val="24"/>
        </w:rPr>
        <w:t>临床试验质量管理规范、研究伦理审查以及临床研究方法学方面的初始培训和继续教育；提交本人的简历、资质证明文件，</w:t>
      </w:r>
      <w:r>
        <w:rPr>
          <w:rFonts w:hint="eastAsia"/>
          <w:color w:val="auto"/>
          <w:sz w:val="24"/>
          <w:lang w:val="en-US" w:eastAsia="zh-CN"/>
        </w:rPr>
        <w:t>药物</w:t>
      </w:r>
      <w:r>
        <w:rPr>
          <w:color w:val="auto"/>
          <w:sz w:val="24"/>
        </w:rPr>
        <w:t>临床试验质量管理规范与伦理审查培训证书；同意并签署</w:t>
      </w:r>
      <w:r>
        <w:rPr>
          <w:rFonts w:hint="eastAsia"/>
          <w:color w:val="auto"/>
          <w:sz w:val="24"/>
        </w:rPr>
        <w:t>委员声明，</w:t>
      </w:r>
      <w:r>
        <w:rPr>
          <w:rFonts w:hAnsi="宋体"/>
          <w:color w:val="auto"/>
          <w:sz w:val="24"/>
        </w:rPr>
        <w:t>保密协议和利益冲突声明</w:t>
      </w:r>
      <w:r>
        <w:rPr>
          <w:rFonts w:hint="eastAsia"/>
          <w:color w:val="auto"/>
          <w:sz w:val="24"/>
        </w:rPr>
        <w:t>（秘书签署后两项）；</w:t>
      </w:r>
      <w:r>
        <w:rPr>
          <w:color w:val="auto"/>
          <w:sz w:val="24"/>
        </w:rPr>
        <w:t>同意公开自己的姓名、职业</w:t>
      </w:r>
      <w:r>
        <w:rPr>
          <w:rFonts w:hAnsi="宋体"/>
          <w:color w:val="auto"/>
          <w:sz w:val="24"/>
        </w:rPr>
        <w:t>和隶属机构，同意公开与参加伦理审查工作相关的交通、劳务和补偿。</w:t>
      </w:r>
    </w:p>
    <w:p>
      <w:pPr>
        <w:spacing w:beforeLines="75" w:afterLines="75" w:line="360" w:lineRule="auto"/>
        <w:ind w:firstLine="482" w:firstLineChars="200"/>
        <w:rPr>
          <w:color w:val="auto"/>
          <w:sz w:val="24"/>
        </w:rPr>
      </w:pPr>
      <w:r>
        <w:rPr>
          <w:rFonts w:hAnsi="宋体"/>
          <w:b/>
          <w:color w:val="auto"/>
          <w:sz w:val="24"/>
        </w:rPr>
        <w:t>第十三条</w:t>
      </w:r>
      <w:r>
        <w:rPr>
          <w:b/>
          <w:color w:val="auto"/>
          <w:sz w:val="24"/>
        </w:rPr>
        <w:t xml:space="preserve">  </w:t>
      </w:r>
      <w:r>
        <w:rPr>
          <w:rFonts w:hAnsi="宋体"/>
          <w:color w:val="auto"/>
          <w:sz w:val="24"/>
        </w:rPr>
        <w:t>伦理委员会设主任委员</w:t>
      </w:r>
      <w:r>
        <w:rPr>
          <w:rFonts w:hint="eastAsia" w:hAnsi="宋体"/>
          <w:color w:val="auto"/>
          <w:sz w:val="24"/>
        </w:rPr>
        <w:t>一</w:t>
      </w:r>
      <w:r>
        <w:rPr>
          <w:rFonts w:hAnsi="宋体"/>
          <w:color w:val="auto"/>
          <w:sz w:val="24"/>
        </w:rPr>
        <w:t>名、副主任委员</w:t>
      </w:r>
      <w:r>
        <w:rPr>
          <w:rFonts w:hint="eastAsia" w:hAnsi="宋体"/>
          <w:color w:val="auto"/>
          <w:sz w:val="24"/>
        </w:rPr>
        <w:t>两</w:t>
      </w:r>
      <w:r>
        <w:rPr>
          <w:rFonts w:hAnsi="宋体"/>
          <w:color w:val="auto"/>
          <w:sz w:val="24"/>
        </w:rPr>
        <w:t>名。伦理委员会主任负责主持审查会议，审签会议记录，审签决定文件。主任因故不能履行职责时，可以委托副主任委员履行全部或部分职责。</w:t>
      </w:r>
    </w:p>
    <w:p>
      <w:pPr>
        <w:spacing w:beforeLines="75" w:afterLines="75" w:line="360" w:lineRule="auto"/>
        <w:ind w:firstLine="482" w:firstLineChars="200"/>
        <w:rPr>
          <w:color w:val="auto"/>
          <w:sz w:val="24"/>
        </w:rPr>
      </w:pPr>
      <w:r>
        <w:rPr>
          <w:rFonts w:hAnsi="宋体"/>
          <w:b/>
          <w:color w:val="auto"/>
          <w:sz w:val="24"/>
        </w:rPr>
        <w:t>第十四条</w:t>
      </w:r>
      <w:r>
        <w:rPr>
          <w:color w:val="auto"/>
          <w:sz w:val="24"/>
        </w:rPr>
        <w:t xml:space="preserve">  </w:t>
      </w:r>
      <w:r>
        <w:rPr>
          <w:rFonts w:hAnsi="宋体"/>
          <w:color w:val="auto"/>
          <w:sz w:val="24"/>
        </w:rPr>
        <w:t>伦理委员的换届应考虑委员审查能力的发展，以及委员的专业类别。医药专业背景换届时应有委员的更替或新委员的增加；同时应有部分委员留任，以保证伦理委员会工作的连续性。</w:t>
      </w:r>
    </w:p>
    <w:p>
      <w:pPr>
        <w:spacing w:beforeLines="75" w:afterLines="75" w:line="360" w:lineRule="auto"/>
        <w:ind w:firstLine="482" w:firstLineChars="200"/>
        <w:rPr>
          <w:b/>
          <w:color w:val="auto"/>
          <w:sz w:val="24"/>
        </w:rPr>
      </w:pPr>
      <w:r>
        <w:rPr>
          <w:rFonts w:hAnsi="宋体"/>
          <w:b/>
          <w:color w:val="auto"/>
          <w:sz w:val="24"/>
        </w:rPr>
        <w:t>第十五条</w:t>
      </w:r>
      <w:r>
        <w:rPr>
          <w:b/>
          <w:color w:val="auto"/>
          <w:sz w:val="24"/>
        </w:rPr>
        <w:t xml:space="preserve">  </w:t>
      </w:r>
      <w:r>
        <w:rPr>
          <w:rFonts w:hAnsi="宋体"/>
          <w:color w:val="auto"/>
          <w:sz w:val="24"/>
        </w:rPr>
        <w:t>以下情况可以免去委员资格：本人书面申请辞去委员职务者；因各种原因缺席半数以上伦理审查会议者；因健康或工作调离等原因，不能继续履行委员职责者；因道德行为规范与委员职责相违背（如与审查项目存在利益冲突而不主动声明），不适宜继续担任委员者。</w:t>
      </w:r>
    </w:p>
    <w:p>
      <w:pPr>
        <w:pStyle w:val="17"/>
        <w:spacing w:beforeLines="75" w:afterLines="75" w:line="360" w:lineRule="auto"/>
        <w:ind w:firstLine="482"/>
        <w:rPr>
          <w:rFonts w:ascii="Times New Roman" w:hAnsi="Times New Roman"/>
          <w:color w:val="auto"/>
          <w:sz w:val="24"/>
          <w:szCs w:val="24"/>
        </w:rPr>
      </w:pPr>
      <w:r>
        <w:rPr>
          <w:rFonts w:ascii="Times New Roman" w:hAnsi="宋体"/>
          <w:b/>
          <w:color w:val="auto"/>
          <w:sz w:val="24"/>
          <w:szCs w:val="24"/>
        </w:rPr>
        <w:t>第十六条</w:t>
      </w:r>
      <w:r>
        <w:rPr>
          <w:rFonts w:ascii="Times New Roman" w:hAnsi="Times New Roman"/>
          <w:color w:val="auto"/>
          <w:sz w:val="24"/>
          <w:szCs w:val="24"/>
        </w:rPr>
        <w:t xml:space="preserve">  </w:t>
      </w:r>
      <w:r>
        <w:rPr>
          <w:rFonts w:ascii="Times New Roman" w:hAnsi="宋体"/>
          <w:color w:val="auto"/>
          <w:sz w:val="24"/>
          <w:szCs w:val="24"/>
        </w:rPr>
        <w:t>委员辞职或免职，可以启动委员替换程序。根据资质、专业相当的原则招募</w:t>
      </w:r>
      <w:r>
        <w:rPr>
          <w:rFonts w:ascii="Times New Roman" w:hAnsi="Times New Roman"/>
          <w:color w:val="auto"/>
          <w:sz w:val="24"/>
          <w:szCs w:val="24"/>
        </w:rPr>
        <w:t>/</w:t>
      </w:r>
      <w:r>
        <w:rPr>
          <w:rFonts w:ascii="Times New Roman" w:hAnsi="宋体"/>
          <w:color w:val="auto"/>
          <w:sz w:val="24"/>
          <w:szCs w:val="24"/>
        </w:rPr>
        <w:t>推荐候选替补委员；替补委员由院</w:t>
      </w:r>
      <w:r>
        <w:rPr>
          <w:rFonts w:hint="eastAsia" w:ascii="Times New Roman" w:hAnsi="宋体"/>
          <w:color w:val="auto"/>
          <w:sz w:val="24"/>
          <w:szCs w:val="24"/>
        </w:rPr>
        <w:t>长</w:t>
      </w:r>
      <w:r>
        <w:rPr>
          <w:rFonts w:ascii="Times New Roman" w:hAnsi="宋体"/>
          <w:color w:val="auto"/>
          <w:sz w:val="24"/>
          <w:szCs w:val="24"/>
        </w:rPr>
        <w:t>办</w:t>
      </w:r>
      <w:r>
        <w:rPr>
          <w:rFonts w:hint="eastAsia" w:ascii="Times New Roman" w:hAnsi="宋体"/>
          <w:color w:val="auto"/>
          <w:sz w:val="24"/>
          <w:szCs w:val="24"/>
        </w:rPr>
        <w:t>公会</w:t>
      </w:r>
      <w:r>
        <w:rPr>
          <w:rFonts w:ascii="Times New Roman" w:hAnsi="宋体"/>
          <w:color w:val="auto"/>
          <w:sz w:val="24"/>
          <w:szCs w:val="24"/>
        </w:rPr>
        <w:t>讨论</w:t>
      </w:r>
      <w:r>
        <w:rPr>
          <w:rFonts w:hint="eastAsia" w:ascii="Times New Roman" w:hAnsi="宋体"/>
          <w:color w:val="auto"/>
          <w:sz w:val="24"/>
          <w:szCs w:val="24"/>
        </w:rPr>
        <w:t>投票</w:t>
      </w:r>
      <w:r>
        <w:rPr>
          <w:rFonts w:ascii="Times New Roman" w:hAnsi="宋体"/>
          <w:color w:val="auto"/>
          <w:sz w:val="24"/>
          <w:szCs w:val="24"/>
        </w:rPr>
        <w:t>决定。</w:t>
      </w:r>
    </w:p>
    <w:p>
      <w:pPr>
        <w:pStyle w:val="17"/>
        <w:spacing w:beforeLines="75" w:afterLines="75" w:line="360" w:lineRule="auto"/>
        <w:ind w:firstLine="482"/>
        <w:rPr>
          <w:rFonts w:ascii="Times New Roman" w:hAnsi="Times New Roman"/>
          <w:color w:val="auto"/>
          <w:sz w:val="24"/>
          <w:szCs w:val="24"/>
        </w:rPr>
      </w:pPr>
      <w:r>
        <w:rPr>
          <w:rFonts w:ascii="Times New Roman" w:hAnsi="宋体"/>
          <w:b/>
          <w:color w:val="auto"/>
          <w:sz w:val="24"/>
          <w:szCs w:val="24"/>
        </w:rPr>
        <w:t>第十七条</w:t>
      </w:r>
      <w:r>
        <w:rPr>
          <w:rFonts w:ascii="Times New Roman" w:hAnsi="Times New Roman"/>
          <w:color w:val="auto"/>
          <w:sz w:val="24"/>
          <w:szCs w:val="24"/>
        </w:rPr>
        <w:t xml:space="preserve">  </w:t>
      </w:r>
      <w:r>
        <w:rPr>
          <w:rFonts w:ascii="Times New Roman" w:hAnsi="宋体"/>
          <w:color w:val="auto"/>
          <w:sz w:val="24"/>
          <w:szCs w:val="24"/>
        </w:rPr>
        <w:t>如果伦理委员专业知识不能胜任某临床研究项目的审查，或某临床研究项目的受试者与委员的社会文化背景明显不同时，可以按需要聘请独立顾问。独立顾问应提交本人简历、资质证明性文件，签署独立顾问声明、保密协议和利益冲突声明，同意应要求公开自己的姓名、职业、隶属关系、工作报酬及其他有关开支。独立顾问应邀对临床研究项目的某方面问题提供咨询意见，</w:t>
      </w:r>
      <w:r>
        <w:rPr>
          <w:rFonts w:hint="eastAsia" w:ascii="Times New Roman" w:hAnsi="宋体"/>
          <w:color w:val="auto"/>
          <w:sz w:val="24"/>
          <w:szCs w:val="24"/>
        </w:rPr>
        <w:t>不参与</w:t>
      </w:r>
      <w:r>
        <w:rPr>
          <w:rFonts w:ascii="Times New Roman" w:hAnsi="宋体"/>
          <w:color w:val="auto"/>
          <w:sz w:val="24"/>
          <w:szCs w:val="24"/>
        </w:rPr>
        <w:t>表决。</w:t>
      </w:r>
    </w:p>
    <w:p>
      <w:pPr>
        <w:pStyle w:val="17"/>
        <w:spacing w:beforeLines="75" w:afterLines="75" w:line="360" w:lineRule="auto"/>
        <w:ind w:firstLine="482"/>
        <w:rPr>
          <w:b/>
          <w:color w:val="auto"/>
          <w:sz w:val="24"/>
        </w:rPr>
      </w:pPr>
      <w:r>
        <w:rPr>
          <w:rFonts w:ascii="Times New Roman" w:hAnsi="宋体"/>
          <w:b/>
          <w:color w:val="auto"/>
          <w:sz w:val="24"/>
          <w:szCs w:val="24"/>
        </w:rPr>
        <w:t>第十八条</w:t>
      </w:r>
      <w:r>
        <w:rPr>
          <w:rFonts w:ascii="Times New Roman" w:hAnsi="Times New Roman"/>
          <w:color w:val="auto"/>
          <w:sz w:val="24"/>
          <w:szCs w:val="24"/>
        </w:rPr>
        <w:t xml:space="preserve">  </w:t>
      </w:r>
      <w:r>
        <w:rPr>
          <w:rFonts w:ascii="Times New Roman" w:hAnsi="宋体"/>
          <w:color w:val="auto"/>
          <w:sz w:val="24"/>
          <w:szCs w:val="24"/>
        </w:rPr>
        <w:t>伦理委员会设秘书或办公室工作人员若干名。伦理委员会秘书负责伦理委员会和办公室的行政事务工作，负责接收、初审项目的申请材料，并负责会议日程安排、会议结果、决议、通知、档案管理等日常工作，</w:t>
      </w:r>
      <w:r>
        <w:rPr>
          <w:rFonts w:hint="eastAsia" w:ascii="Times New Roman" w:hAnsi="宋体"/>
          <w:color w:val="auto"/>
          <w:sz w:val="24"/>
          <w:szCs w:val="24"/>
        </w:rPr>
        <w:t>及时向研究者通知审查意见，</w:t>
      </w:r>
      <w:r>
        <w:rPr>
          <w:rFonts w:ascii="Times New Roman" w:hAnsi="宋体"/>
          <w:color w:val="auto"/>
          <w:sz w:val="24"/>
          <w:szCs w:val="24"/>
        </w:rPr>
        <w:t>并报告伦理委员会主任委员。</w:t>
      </w:r>
    </w:p>
    <w:p>
      <w:pPr>
        <w:pStyle w:val="17"/>
        <w:spacing w:beforeLines="75" w:afterLines="75" w:line="360" w:lineRule="auto"/>
        <w:ind w:firstLine="562"/>
        <w:jc w:val="center"/>
        <w:rPr>
          <w:rFonts w:ascii="Times New Roman" w:hAnsi="Times New Roman"/>
          <w:b/>
          <w:color w:val="auto"/>
          <w:sz w:val="28"/>
          <w:szCs w:val="28"/>
        </w:rPr>
      </w:pPr>
      <w:r>
        <w:rPr>
          <w:rFonts w:ascii="Times New Roman" w:hAnsi="宋体"/>
          <w:b/>
          <w:color w:val="auto"/>
          <w:sz w:val="28"/>
          <w:szCs w:val="28"/>
        </w:rPr>
        <w:t>第四章</w:t>
      </w:r>
      <w:r>
        <w:rPr>
          <w:rFonts w:ascii="Times New Roman" w:hAnsi="Times New Roman"/>
          <w:b/>
          <w:color w:val="auto"/>
          <w:sz w:val="28"/>
          <w:szCs w:val="28"/>
        </w:rPr>
        <w:t xml:space="preserve">  </w:t>
      </w:r>
      <w:r>
        <w:rPr>
          <w:rFonts w:ascii="Times New Roman" w:hAnsi="宋体"/>
          <w:b/>
          <w:color w:val="auto"/>
          <w:sz w:val="28"/>
          <w:szCs w:val="28"/>
        </w:rPr>
        <w:t>工作程序</w:t>
      </w:r>
    </w:p>
    <w:p>
      <w:pPr>
        <w:spacing w:beforeLines="75" w:afterLines="75" w:line="360" w:lineRule="auto"/>
        <w:ind w:firstLine="482" w:firstLineChars="200"/>
        <w:rPr>
          <w:color w:val="auto"/>
          <w:sz w:val="24"/>
        </w:rPr>
      </w:pPr>
      <w:r>
        <w:rPr>
          <w:rFonts w:hAnsi="宋体"/>
          <w:b/>
          <w:color w:val="auto"/>
          <w:sz w:val="24"/>
        </w:rPr>
        <w:t>第十九条</w:t>
      </w:r>
      <w:r>
        <w:rPr>
          <w:color w:val="auto"/>
          <w:sz w:val="24"/>
        </w:rPr>
        <w:t xml:space="preserve">  </w:t>
      </w:r>
      <w:r>
        <w:rPr>
          <w:rFonts w:hAnsi="宋体"/>
          <w:color w:val="auto"/>
          <w:sz w:val="24"/>
        </w:rPr>
        <w:t>伦理委员会的审查方式有会议审查、紧急会议审查、</w:t>
      </w:r>
      <w:r>
        <w:rPr>
          <w:rFonts w:hint="eastAsia" w:hAnsi="宋体"/>
          <w:color w:val="auto"/>
          <w:sz w:val="24"/>
          <w:lang w:eastAsia="zh-CN"/>
        </w:rPr>
        <w:t>快速审查</w:t>
      </w:r>
      <w:r>
        <w:rPr>
          <w:rFonts w:hAnsi="宋体"/>
          <w:color w:val="auto"/>
          <w:sz w:val="24"/>
        </w:rPr>
        <w:t>。实行主审制，为每个审查项目安排主审委员，填写审查工作表。会议审查是伦理委员会主要的审查工作方式，每月定期召开审查会议。委员在会前预审送审项目。研究过程中出现重大或严重问题，危及受试者安全，应召开紧急会议审查。</w:t>
      </w:r>
      <w:r>
        <w:rPr>
          <w:rFonts w:hint="eastAsia" w:hAnsi="宋体"/>
          <w:color w:val="auto"/>
          <w:sz w:val="24"/>
          <w:lang w:eastAsia="zh-CN"/>
        </w:rPr>
        <w:t>快速审查</w:t>
      </w:r>
      <w:r>
        <w:rPr>
          <w:rFonts w:hAnsi="宋体"/>
          <w:color w:val="auto"/>
          <w:sz w:val="24"/>
        </w:rPr>
        <w:t>是会议审查的补充形式，目的是为了提高工作效率，主要适用于不大于最小风险的研究项目、临床研究方案的较小修正、不影响研究风险受益比、尚未纳入受试者或已完成干预措施的研究项目、预期严重不良事件审查。</w:t>
      </w:r>
    </w:p>
    <w:p>
      <w:pPr>
        <w:spacing w:beforeLines="75" w:afterLines="75" w:line="360" w:lineRule="auto"/>
        <w:ind w:firstLine="482" w:firstLineChars="200"/>
        <w:rPr>
          <w:color w:val="auto"/>
          <w:sz w:val="24"/>
        </w:rPr>
      </w:pPr>
      <w:r>
        <w:rPr>
          <w:rFonts w:hAnsi="宋体"/>
          <w:b/>
          <w:color w:val="auto"/>
          <w:sz w:val="24"/>
        </w:rPr>
        <w:t>第二十条</w:t>
      </w:r>
      <w:r>
        <w:rPr>
          <w:color w:val="auto"/>
          <w:sz w:val="24"/>
        </w:rPr>
        <w:t xml:space="preserve">  </w:t>
      </w:r>
      <w:r>
        <w:rPr>
          <w:rFonts w:hAnsi="宋体"/>
          <w:color w:val="auto"/>
          <w:sz w:val="24"/>
        </w:rPr>
        <w:t>伦理委员会审查会议的到会法定人数必须超过半数成员，并不少于</w:t>
      </w:r>
      <w:r>
        <w:rPr>
          <w:color w:val="auto"/>
          <w:sz w:val="24"/>
        </w:rPr>
        <w:t>7</w:t>
      </w:r>
      <w:r>
        <w:rPr>
          <w:rFonts w:hAnsi="宋体"/>
          <w:color w:val="auto"/>
          <w:sz w:val="24"/>
        </w:rPr>
        <w:t>人；到会委员应包括医药专业、非医药专业、独立于研究实施机构之外的委员，法律专家，并有不同性别的委员。</w:t>
      </w:r>
    </w:p>
    <w:p>
      <w:pPr>
        <w:spacing w:beforeLines="75" w:afterLines="75" w:line="360" w:lineRule="auto"/>
        <w:ind w:firstLine="482" w:firstLineChars="200"/>
        <w:rPr>
          <w:rFonts w:ascii="Arial" w:hAnsi="Arial" w:cs="Arial"/>
          <w:color w:val="auto"/>
          <w:sz w:val="24"/>
          <w:shd w:val="clear" w:color="auto" w:fill="FFFFFF"/>
        </w:rPr>
      </w:pPr>
      <w:r>
        <w:rPr>
          <w:rFonts w:hAnsi="宋体"/>
          <w:b/>
          <w:color w:val="auto"/>
          <w:sz w:val="24"/>
        </w:rPr>
        <w:t>第二十一条</w:t>
      </w:r>
      <w:r>
        <w:rPr>
          <w:b/>
          <w:color w:val="auto"/>
          <w:sz w:val="24"/>
        </w:rPr>
        <w:t xml:space="preserve"> </w:t>
      </w:r>
      <w:r>
        <w:rPr>
          <w:color w:val="auto"/>
          <w:sz w:val="24"/>
        </w:rPr>
        <w:t xml:space="preserve"> </w:t>
      </w:r>
      <w:r>
        <w:rPr>
          <w:rFonts w:hAnsi="宋体"/>
          <w:color w:val="auto"/>
          <w:sz w:val="24"/>
        </w:rPr>
        <w:t>伦理委员会审查决定时，申请人、独立顾问及与研究项目存在利益冲突的委员应当回避，按审查要素和审查要点进行充分的审查讨论后，以投票的方式做出决定，没有参与会议讨论的委员不能投票，</w:t>
      </w:r>
      <w:r>
        <w:rPr>
          <w:rFonts w:hint="eastAsia" w:ascii="宋体" w:hAnsi="宋体"/>
          <w:color w:val="auto"/>
          <w:sz w:val="24"/>
        </w:rPr>
        <w:t>以超过</w:t>
      </w:r>
      <w:r>
        <w:rPr>
          <w:rFonts w:hint="eastAsia"/>
          <w:color w:val="auto"/>
          <w:sz w:val="24"/>
        </w:rPr>
        <w:t>伦理委员会委员数</w:t>
      </w:r>
      <w:r>
        <w:rPr>
          <w:rFonts w:hint="eastAsia" w:ascii="宋体" w:hAnsi="宋体"/>
          <w:color w:val="auto"/>
          <w:sz w:val="24"/>
        </w:rPr>
        <w:t>半数以上的意见作为伦理委员会审查有效的决定。</w:t>
      </w:r>
      <w:r>
        <w:rPr>
          <w:rFonts w:ascii="Arial" w:hAnsi="Arial" w:cs="Arial"/>
          <w:color w:val="auto"/>
          <w:sz w:val="24"/>
          <w:shd w:val="clear" w:color="auto" w:fill="FFFFFF"/>
        </w:rPr>
        <w:t>研究者、申办者或者药品监督管理部门可以要求伦理委员会提供其标准操作规程和伦理审查委员名单。</w:t>
      </w:r>
    </w:p>
    <w:p>
      <w:pPr>
        <w:spacing w:beforeLines="75" w:afterLines="75" w:line="360" w:lineRule="auto"/>
        <w:ind w:firstLine="482" w:firstLineChars="200"/>
        <w:rPr>
          <w:rFonts w:ascii="Arial" w:hAnsi="Arial" w:cs="Arial"/>
          <w:color w:val="auto"/>
          <w:sz w:val="24"/>
          <w:shd w:val="clear" w:color="auto" w:fill="FFFFFF"/>
        </w:rPr>
      </w:pPr>
      <w:r>
        <w:rPr>
          <w:rFonts w:hint="eastAsia" w:ascii="Arial" w:hAnsi="Arial" w:cs="Arial"/>
          <w:b/>
          <w:bCs/>
          <w:color w:val="auto"/>
          <w:sz w:val="24"/>
          <w:shd w:val="clear" w:color="auto" w:fill="FFFFFF"/>
        </w:rPr>
        <w:t xml:space="preserve">第二十二条 </w:t>
      </w:r>
      <w:r>
        <w:rPr>
          <w:rFonts w:hint="eastAsia" w:ascii="Arial" w:hAnsi="Arial" w:cs="Arial"/>
          <w:color w:val="auto"/>
          <w:sz w:val="24"/>
          <w:shd w:val="clear" w:color="auto" w:fill="FFFFFF"/>
        </w:rPr>
        <w:t xml:space="preserve"> </w:t>
      </w:r>
      <w:r>
        <w:rPr>
          <w:rFonts w:ascii="Arial" w:hAnsi="Arial" w:cs="Arial"/>
          <w:color w:val="auto"/>
          <w:sz w:val="24"/>
          <w:shd w:val="clear" w:color="auto" w:fill="FFFFFF"/>
        </w:rPr>
        <w:t>伦理委员会应当保留伦理审查的全部记录，包括伦理审查的书面记录、委员信息、递交的文件、会议记录和相关往来记录等。医疗器械临床试验完成或者终止后10年</w:t>
      </w:r>
      <w:r>
        <w:rPr>
          <w:rFonts w:hint="eastAsia" w:ascii="Arial" w:hAnsi="Arial" w:cs="Arial"/>
          <w:color w:val="auto"/>
          <w:sz w:val="24"/>
          <w:shd w:val="clear" w:color="auto" w:fill="FFFFFF"/>
        </w:rPr>
        <w:t>，其余临床试验项目</w:t>
      </w:r>
      <w:r>
        <w:rPr>
          <w:rFonts w:ascii="Arial" w:hAnsi="Arial" w:cs="Arial"/>
          <w:color w:val="auto"/>
          <w:sz w:val="24"/>
          <w:shd w:val="clear" w:color="auto" w:fill="FFFFFF"/>
        </w:rPr>
        <w:t>应当至少保存至临床试验结束后5年。</w:t>
      </w:r>
    </w:p>
    <w:p>
      <w:pPr>
        <w:spacing w:beforeLines="75" w:afterLines="75" w:line="360" w:lineRule="auto"/>
        <w:ind w:firstLine="482" w:firstLineChars="200"/>
        <w:rPr>
          <w:color w:val="auto"/>
          <w:sz w:val="24"/>
        </w:rPr>
      </w:pPr>
      <w:r>
        <w:rPr>
          <w:rFonts w:hAnsi="宋体"/>
          <w:b/>
          <w:color w:val="auto"/>
          <w:sz w:val="24"/>
        </w:rPr>
        <w:t>第</w:t>
      </w:r>
      <w:r>
        <w:rPr>
          <w:rFonts w:hint="eastAsia" w:hAnsi="宋体"/>
          <w:b/>
          <w:color w:val="auto"/>
          <w:sz w:val="24"/>
        </w:rPr>
        <w:t>二十三</w:t>
      </w:r>
      <w:r>
        <w:rPr>
          <w:rFonts w:hAnsi="宋体"/>
          <w:b/>
          <w:color w:val="auto"/>
          <w:sz w:val="24"/>
        </w:rPr>
        <w:t>条</w:t>
      </w:r>
      <w:r>
        <w:rPr>
          <w:color w:val="auto"/>
          <w:sz w:val="24"/>
        </w:rPr>
        <w:t xml:space="preserve">  </w:t>
      </w:r>
      <w:r>
        <w:rPr>
          <w:rFonts w:hAnsi="宋体"/>
          <w:color w:val="auto"/>
          <w:sz w:val="24"/>
        </w:rPr>
        <w:t>伦理委员会接到项目审查申请后应按规定时间及时召开审查会议，审阅讨论，签发书面意见，附上出席会议的委员名单，专业情况及本人签名</w:t>
      </w:r>
      <w:r>
        <w:rPr>
          <w:rFonts w:hint="eastAsia" w:hAnsi="宋体"/>
          <w:color w:val="auto"/>
          <w:sz w:val="24"/>
        </w:rPr>
        <w:t>，并注明会议时间及讨论内容</w:t>
      </w:r>
      <w:r>
        <w:rPr>
          <w:rFonts w:hAnsi="宋体"/>
          <w:color w:val="auto"/>
          <w:sz w:val="24"/>
        </w:rPr>
        <w:t>。</w:t>
      </w:r>
      <w:r>
        <w:rPr>
          <w:rFonts w:hint="eastAsia" w:hAnsi="宋体"/>
          <w:color w:val="auto"/>
          <w:sz w:val="24"/>
        </w:rPr>
        <w:t>对于初始审查不通过的项目进行跟踪审查；对伦理委员会同意的试验方案的较小修正，采用</w:t>
      </w:r>
      <w:r>
        <w:rPr>
          <w:rFonts w:hint="eastAsia" w:hAnsi="宋体"/>
          <w:color w:val="auto"/>
          <w:sz w:val="24"/>
          <w:lang w:eastAsia="zh-CN"/>
        </w:rPr>
        <w:t>快速审查</w:t>
      </w:r>
      <w:r>
        <w:rPr>
          <w:rFonts w:hint="eastAsia" w:hAnsi="宋体"/>
          <w:color w:val="auto"/>
          <w:sz w:val="24"/>
        </w:rPr>
        <w:t>并同意的程序；对伦理审查意见有不同意见的进行复审。</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四</w:t>
      </w:r>
      <w:r>
        <w:rPr>
          <w:rFonts w:hAnsi="宋体"/>
          <w:b/>
          <w:color w:val="auto"/>
          <w:sz w:val="24"/>
        </w:rPr>
        <w:t>条</w:t>
      </w:r>
      <w:r>
        <w:rPr>
          <w:color w:val="auto"/>
          <w:sz w:val="24"/>
        </w:rPr>
        <w:t xml:space="preserve">  </w:t>
      </w:r>
      <w:r>
        <w:rPr>
          <w:rFonts w:hAnsi="宋体"/>
          <w:color w:val="auto"/>
          <w:sz w:val="24"/>
        </w:rPr>
        <w:t>遵循利益冲突政策，</w:t>
      </w:r>
      <w:r>
        <w:rPr>
          <w:color w:val="auto"/>
          <w:sz w:val="24"/>
        </w:rPr>
        <w:t>投票或者提出审查意见的委员应当独立于被审查临床试验项目</w:t>
      </w:r>
      <w:r>
        <w:rPr>
          <w:rFonts w:hint="eastAsia"/>
          <w:color w:val="auto"/>
          <w:sz w:val="24"/>
        </w:rPr>
        <w:t>。</w:t>
      </w:r>
      <w:r>
        <w:rPr>
          <w:rFonts w:hAnsi="宋体"/>
          <w:color w:val="auto"/>
          <w:sz w:val="24"/>
        </w:rPr>
        <w:t>与研究项目存在利益冲突的委员或独立顾问应主动声明并退出该项目审查的讨论和决定程序。伦理委员会应审查研究人员与研究项目之间的利益冲突，必要时采取限制性措施。</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五</w:t>
      </w:r>
      <w:r>
        <w:rPr>
          <w:rFonts w:hAnsi="宋体"/>
          <w:b/>
          <w:color w:val="auto"/>
          <w:sz w:val="24"/>
        </w:rPr>
        <w:t>条</w:t>
      </w:r>
      <w:r>
        <w:rPr>
          <w:color w:val="auto"/>
          <w:sz w:val="24"/>
        </w:rPr>
        <w:t xml:space="preserve">  </w:t>
      </w:r>
      <w:r>
        <w:rPr>
          <w:rFonts w:hAnsi="宋体"/>
          <w:color w:val="auto"/>
          <w:sz w:val="24"/>
        </w:rPr>
        <w:t>伦理委员会委员</w:t>
      </w:r>
      <w:r>
        <w:rPr>
          <w:color w:val="auto"/>
          <w:sz w:val="24"/>
        </w:rPr>
        <w:t>/</w:t>
      </w:r>
      <w:r>
        <w:rPr>
          <w:rFonts w:hAnsi="宋体"/>
          <w:color w:val="auto"/>
          <w:sz w:val="24"/>
        </w:rPr>
        <w:t>独立顾问对送审项目的文件负有保密责任和义务，审查完成后，及时交回所有送审文件与审查材料，不得私自复制与外传。</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六</w:t>
      </w:r>
      <w:r>
        <w:rPr>
          <w:rFonts w:hAnsi="宋体"/>
          <w:b/>
          <w:color w:val="auto"/>
          <w:sz w:val="24"/>
        </w:rPr>
        <w:t>条</w:t>
      </w:r>
      <w:r>
        <w:rPr>
          <w:color w:val="auto"/>
          <w:sz w:val="24"/>
        </w:rPr>
        <w:t xml:space="preserve">  </w:t>
      </w:r>
      <w:r>
        <w:rPr>
          <w:rFonts w:hAnsi="宋体"/>
          <w:color w:val="auto"/>
          <w:sz w:val="24"/>
        </w:rPr>
        <w:t>伦理委员会接受医院质量管理部门对伦理委员会工作质量的检查评估；接受卫生行政部门、药品监督管理部门的监督管理；接受独立的、外部的质量评估或认证。伦理委员会对检查发现的问题采取相应的改进措施。</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七</w:t>
      </w:r>
      <w:r>
        <w:rPr>
          <w:rFonts w:hAnsi="宋体"/>
          <w:b/>
          <w:color w:val="auto"/>
          <w:sz w:val="24"/>
        </w:rPr>
        <w:t>条</w:t>
      </w:r>
      <w:r>
        <w:rPr>
          <w:color w:val="auto"/>
          <w:sz w:val="24"/>
        </w:rPr>
        <w:t xml:space="preserve">  </w:t>
      </w:r>
      <w:r>
        <w:rPr>
          <w:rFonts w:hAnsi="宋体"/>
          <w:color w:val="auto"/>
          <w:sz w:val="24"/>
        </w:rPr>
        <w:t>伦理委员会主任委员向分管院领导报告工作，向医院、药品监督管理部门报告年度伦理审查工作情况。医院质量管理部门负责受理伦理委员会决定的申诉或其他诉求。对伦理委员会违反法规的</w:t>
      </w:r>
      <w:r>
        <w:rPr>
          <w:color w:val="auto"/>
          <w:sz w:val="24"/>
        </w:rPr>
        <w:t>“</w:t>
      </w:r>
      <w:r>
        <w:rPr>
          <w:rFonts w:hAnsi="宋体"/>
          <w:color w:val="auto"/>
          <w:sz w:val="24"/>
        </w:rPr>
        <w:t>同意</w:t>
      </w:r>
      <w:r>
        <w:rPr>
          <w:color w:val="auto"/>
          <w:sz w:val="24"/>
        </w:rPr>
        <w:t>”</w:t>
      </w:r>
      <w:r>
        <w:rPr>
          <w:rFonts w:hAnsi="宋体"/>
          <w:color w:val="auto"/>
          <w:sz w:val="24"/>
        </w:rPr>
        <w:t>决定，医院院办</w:t>
      </w:r>
      <w:r>
        <w:rPr>
          <w:rFonts w:hint="eastAsia" w:hAnsi="宋体"/>
          <w:color w:val="auto"/>
          <w:sz w:val="24"/>
        </w:rPr>
        <w:t>公</w:t>
      </w:r>
      <w:r>
        <w:rPr>
          <w:rFonts w:hAnsi="宋体"/>
          <w:color w:val="auto"/>
          <w:sz w:val="24"/>
        </w:rPr>
        <w:t>会可要求伦理委员会重新审查，或中止所批准的研究项目。</w:t>
      </w:r>
    </w:p>
    <w:p>
      <w:pPr>
        <w:pStyle w:val="17"/>
        <w:spacing w:beforeLines="75" w:afterLines="75" w:line="360" w:lineRule="auto"/>
        <w:ind w:firstLine="562"/>
        <w:jc w:val="center"/>
        <w:rPr>
          <w:rFonts w:ascii="Times New Roman" w:hAnsi="Times New Roman"/>
          <w:b/>
          <w:color w:val="auto"/>
          <w:sz w:val="28"/>
          <w:szCs w:val="28"/>
        </w:rPr>
      </w:pPr>
      <w:r>
        <w:rPr>
          <w:rFonts w:ascii="Times New Roman" w:hAnsi="宋体"/>
          <w:b/>
          <w:color w:val="auto"/>
          <w:sz w:val="28"/>
          <w:szCs w:val="28"/>
        </w:rPr>
        <w:t>第五章</w:t>
      </w:r>
      <w:r>
        <w:rPr>
          <w:rFonts w:ascii="Times New Roman" w:hAnsi="Times New Roman"/>
          <w:b/>
          <w:color w:val="auto"/>
          <w:sz w:val="28"/>
          <w:szCs w:val="28"/>
        </w:rPr>
        <w:t xml:space="preserve">  </w:t>
      </w:r>
      <w:r>
        <w:rPr>
          <w:rFonts w:ascii="Times New Roman" w:hAnsi="宋体"/>
          <w:b/>
          <w:color w:val="auto"/>
          <w:sz w:val="28"/>
          <w:szCs w:val="28"/>
        </w:rPr>
        <w:t>受试者的权益保障</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八</w:t>
      </w:r>
      <w:r>
        <w:rPr>
          <w:rFonts w:hAnsi="宋体"/>
          <w:b/>
          <w:color w:val="auto"/>
          <w:sz w:val="24"/>
        </w:rPr>
        <w:t>条</w:t>
      </w:r>
      <w:r>
        <w:rPr>
          <w:b/>
          <w:color w:val="auto"/>
          <w:sz w:val="24"/>
        </w:rPr>
        <w:t xml:space="preserve"> </w:t>
      </w:r>
      <w:r>
        <w:rPr>
          <w:color w:val="auto"/>
          <w:sz w:val="24"/>
        </w:rPr>
        <w:t xml:space="preserve"> 受试者的权益和安全是考虑的首要因素，优先于对科学和社会的获益。伦理审查与知情同意是保障受试者权益的重要措施。</w:t>
      </w:r>
      <w:r>
        <w:rPr>
          <w:rFonts w:hAnsi="宋体"/>
          <w:color w:val="auto"/>
          <w:sz w:val="24"/>
        </w:rPr>
        <w:t>申请审查的项目须经伦理委员会审议同意并签署批准意见后方可实施。</w:t>
      </w:r>
    </w:p>
    <w:p>
      <w:pPr>
        <w:spacing w:beforeLines="75" w:afterLines="75" w:line="360" w:lineRule="auto"/>
        <w:ind w:firstLine="482" w:firstLineChars="200"/>
        <w:rPr>
          <w:color w:val="auto"/>
          <w:sz w:val="24"/>
        </w:rPr>
      </w:pPr>
      <w:r>
        <w:rPr>
          <w:rFonts w:hAnsi="宋体"/>
          <w:b/>
          <w:color w:val="auto"/>
          <w:sz w:val="24"/>
        </w:rPr>
        <w:t>第二十</w:t>
      </w:r>
      <w:r>
        <w:rPr>
          <w:rFonts w:hint="eastAsia" w:hAnsi="宋体"/>
          <w:b/>
          <w:color w:val="auto"/>
          <w:sz w:val="24"/>
        </w:rPr>
        <w:t>九</w:t>
      </w:r>
      <w:r>
        <w:rPr>
          <w:rFonts w:hAnsi="宋体"/>
          <w:b/>
          <w:color w:val="auto"/>
          <w:sz w:val="24"/>
        </w:rPr>
        <w:t>条</w:t>
      </w:r>
      <w:r>
        <w:rPr>
          <w:b/>
          <w:color w:val="auto"/>
          <w:sz w:val="24"/>
        </w:rPr>
        <w:t xml:space="preserve">  </w:t>
      </w:r>
      <w:r>
        <w:rPr>
          <w:bCs/>
          <w:color w:val="auto"/>
          <w:sz w:val="24"/>
        </w:rPr>
        <w:t>临床试验应当有充分的科学依据。临床试验应当权衡受试者和社会的预期风险和获益，只有当预期的获益大于风险时，方可实施或者继续临床试验。</w:t>
      </w:r>
      <w:r>
        <w:rPr>
          <w:rFonts w:hAnsi="宋体"/>
          <w:color w:val="auto"/>
          <w:sz w:val="24"/>
        </w:rPr>
        <w:t>涉及人体的研究在试验进行期间，试验方案的任何修改均应经医院伦理委员会再次审查批准。</w:t>
      </w:r>
    </w:p>
    <w:p>
      <w:pPr>
        <w:spacing w:beforeLines="75" w:afterLines="75" w:line="360" w:lineRule="auto"/>
        <w:ind w:firstLine="482" w:firstLineChars="200"/>
        <w:rPr>
          <w:b/>
          <w:color w:val="auto"/>
          <w:sz w:val="24"/>
        </w:rPr>
      </w:pPr>
      <w:r>
        <w:rPr>
          <w:rFonts w:hAnsi="宋体"/>
          <w:b/>
          <w:color w:val="auto"/>
          <w:sz w:val="24"/>
        </w:rPr>
        <w:t>第</w:t>
      </w:r>
      <w:r>
        <w:rPr>
          <w:rFonts w:hint="eastAsia" w:hAnsi="宋体"/>
          <w:b/>
          <w:color w:val="auto"/>
          <w:sz w:val="24"/>
        </w:rPr>
        <w:t>三十</w:t>
      </w:r>
      <w:r>
        <w:rPr>
          <w:rFonts w:hAnsi="宋体"/>
          <w:b/>
          <w:color w:val="auto"/>
          <w:sz w:val="24"/>
        </w:rPr>
        <w:t>条</w:t>
      </w:r>
      <w:r>
        <w:rPr>
          <w:b/>
          <w:color w:val="auto"/>
          <w:sz w:val="24"/>
        </w:rPr>
        <w:t xml:space="preserve">  </w:t>
      </w:r>
      <w:r>
        <w:rPr>
          <w:bCs/>
          <w:color w:val="auto"/>
          <w:sz w:val="24"/>
        </w:rPr>
        <w:t>临床试验的质量管理体系应当覆盖临床试验的全过程，重点是受试者保护、试验结果可靠，以及遵守相关法律法规</w:t>
      </w:r>
      <w:r>
        <w:rPr>
          <w:rFonts w:hint="eastAsia"/>
          <w:bCs/>
          <w:color w:val="auto"/>
          <w:sz w:val="24"/>
        </w:rPr>
        <w:t>。</w:t>
      </w:r>
      <w:r>
        <w:rPr>
          <w:rFonts w:hAnsi="宋体"/>
          <w:color w:val="auto"/>
          <w:sz w:val="24"/>
        </w:rPr>
        <w:t>试验中发生任何严重不良事件，应及时报告医院伦理委员会。</w:t>
      </w:r>
    </w:p>
    <w:p>
      <w:pPr>
        <w:pStyle w:val="17"/>
        <w:spacing w:beforeLines="75" w:afterLines="75" w:line="360" w:lineRule="auto"/>
        <w:ind w:firstLine="562"/>
        <w:jc w:val="center"/>
        <w:rPr>
          <w:rFonts w:ascii="Times New Roman" w:hAnsi="宋体"/>
          <w:b/>
          <w:color w:val="auto"/>
          <w:sz w:val="28"/>
          <w:szCs w:val="28"/>
        </w:rPr>
      </w:pPr>
      <w:r>
        <w:rPr>
          <w:rFonts w:ascii="Times New Roman" w:hAnsi="宋体"/>
          <w:b/>
          <w:color w:val="auto"/>
          <w:sz w:val="28"/>
          <w:szCs w:val="28"/>
        </w:rPr>
        <w:t>第六章</w:t>
      </w:r>
      <w:r>
        <w:rPr>
          <w:rFonts w:ascii="Times New Roman" w:hAnsi="Times New Roman"/>
          <w:b/>
          <w:color w:val="auto"/>
          <w:sz w:val="28"/>
          <w:szCs w:val="28"/>
        </w:rPr>
        <w:t xml:space="preserve">  </w:t>
      </w:r>
      <w:r>
        <w:rPr>
          <w:rFonts w:hint="eastAsia" w:ascii="Times New Roman" w:hAnsi="Times New Roman"/>
          <w:b/>
          <w:color w:val="auto"/>
          <w:sz w:val="28"/>
          <w:szCs w:val="28"/>
        </w:rPr>
        <w:t>监督管理</w:t>
      </w:r>
    </w:p>
    <w:p>
      <w:pPr>
        <w:pStyle w:val="17"/>
        <w:spacing w:beforeLines="75" w:afterLines="75" w:line="360" w:lineRule="auto"/>
        <w:ind w:firstLine="482"/>
        <w:rPr>
          <w:rFonts w:hAnsi="宋体"/>
          <w:bCs/>
          <w:color w:val="auto"/>
          <w:sz w:val="24"/>
        </w:rPr>
      </w:pPr>
      <w:r>
        <w:rPr>
          <w:rFonts w:hAnsi="宋体"/>
          <w:b/>
          <w:color w:val="auto"/>
          <w:sz w:val="24"/>
        </w:rPr>
        <w:t>第</w:t>
      </w:r>
      <w:r>
        <w:rPr>
          <w:rFonts w:hint="eastAsia" w:hAnsi="宋体"/>
          <w:b/>
          <w:color w:val="auto"/>
          <w:sz w:val="24"/>
        </w:rPr>
        <w:t>三十一</w:t>
      </w:r>
      <w:r>
        <w:rPr>
          <w:rFonts w:hAnsi="宋体"/>
          <w:b/>
          <w:color w:val="auto"/>
          <w:sz w:val="24"/>
        </w:rPr>
        <w:t>条</w:t>
      </w:r>
      <w:r>
        <w:rPr>
          <w:rFonts w:hint="eastAsia" w:hAnsi="宋体"/>
          <w:b/>
          <w:color w:val="auto"/>
          <w:sz w:val="24"/>
        </w:rPr>
        <w:t xml:space="preserve"> </w:t>
      </w:r>
      <w:r>
        <w:rPr>
          <w:rFonts w:hint="eastAsia" w:hAnsi="宋体"/>
          <w:bCs/>
          <w:color w:val="auto"/>
          <w:sz w:val="24"/>
        </w:rPr>
        <w:t>自贡市中医医院加强对本机构设立的伦理委员会开展的涉及人的生物医学研究伦理审查工作的日常管理，定期评估伦理委员会工作质量，对发现的问题及时提出改进意见或者建议，根据需要调整伦理委员会委员等。</w:t>
      </w:r>
    </w:p>
    <w:p>
      <w:pPr>
        <w:pStyle w:val="17"/>
        <w:spacing w:beforeLines="75" w:afterLines="75" w:line="360" w:lineRule="auto"/>
        <w:ind w:firstLine="482"/>
        <w:rPr>
          <w:rFonts w:hAnsi="宋体"/>
          <w:bCs/>
          <w:color w:val="auto"/>
          <w:sz w:val="24"/>
        </w:rPr>
      </w:pPr>
      <w:r>
        <w:rPr>
          <w:rFonts w:hint="eastAsia" w:hAnsi="宋体"/>
          <w:b/>
          <w:color w:val="auto"/>
          <w:sz w:val="24"/>
        </w:rPr>
        <w:t>第三十二条</w:t>
      </w:r>
      <w:r>
        <w:rPr>
          <w:rFonts w:hint="eastAsia" w:hAnsi="宋体"/>
          <w:bCs/>
          <w:color w:val="auto"/>
          <w:sz w:val="24"/>
        </w:rPr>
        <w:t>　自贡市中医医院应当督促本机构的伦理委员会落实自贡市卫生健康委员会提出的整改意见；伦理委员会未在规定期限内完成整改或者拒绝整改，违规情节严重或者造成严重后果的，医院将撤销伦理委员会主任委员资格，追究相关人员责任。</w:t>
      </w:r>
    </w:p>
    <w:p>
      <w:pPr>
        <w:pStyle w:val="17"/>
        <w:spacing w:beforeLines="75" w:afterLines="75" w:line="360" w:lineRule="auto"/>
        <w:ind w:firstLine="482"/>
        <w:rPr>
          <w:rFonts w:hAnsi="宋体"/>
          <w:bCs/>
          <w:color w:val="auto"/>
          <w:sz w:val="24"/>
        </w:rPr>
      </w:pPr>
      <w:r>
        <w:rPr>
          <w:rFonts w:hint="eastAsia" w:hAnsi="宋体"/>
          <w:b/>
          <w:color w:val="auto"/>
          <w:sz w:val="24"/>
        </w:rPr>
        <w:t>第三十三条</w:t>
      </w:r>
      <w:r>
        <w:rPr>
          <w:rFonts w:hint="eastAsia" w:hAnsi="宋体"/>
          <w:bCs/>
          <w:color w:val="auto"/>
          <w:sz w:val="24"/>
        </w:rPr>
        <w:t>　任何单位或者个人均有权举报涉及人的生物医学研究中存在的违规或者不端行为。</w:t>
      </w:r>
    </w:p>
    <w:p>
      <w:pPr>
        <w:pStyle w:val="17"/>
        <w:spacing w:beforeLines="75" w:afterLines="75" w:line="360" w:lineRule="auto"/>
        <w:ind w:firstLine="482"/>
        <w:rPr>
          <w:rFonts w:hAnsi="宋体"/>
          <w:bCs/>
          <w:color w:val="auto"/>
          <w:sz w:val="24"/>
        </w:rPr>
      </w:pPr>
      <w:r>
        <w:rPr>
          <w:rFonts w:hint="eastAsia" w:hAnsi="宋体"/>
          <w:b/>
          <w:color w:val="auto"/>
          <w:sz w:val="24"/>
        </w:rPr>
        <w:t>第三十四条</w:t>
      </w:r>
      <w:r>
        <w:rPr>
          <w:rFonts w:hint="eastAsia" w:hAnsi="宋体"/>
          <w:bCs/>
          <w:color w:val="auto"/>
          <w:sz w:val="24"/>
        </w:rPr>
        <w:t>　伦理委员会应当遵守《世界医学大会赫尔辛基宣言》的伦理准则，遵守</w:t>
      </w:r>
      <w:r>
        <w:rPr>
          <w:rFonts w:hint="eastAsia" w:ascii="宋体" w:hAnsi="宋体" w:cs="宋体"/>
          <w:color w:val="auto"/>
          <w:sz w:val="24"/>
          <w:szCs w:val="24"/>
          <w:shd w:val="clear" w:color="auto" w:fill="FFFFFF"/>
        </w:rPr>
        <w:t>《执业医师法》《医疗机构管理条例》等法律法规相关规定。</w:t>
      </w:r>
    </w:p>
    <w:p>
      <w:pPr>
        <w:pStyle w:val="17"/>
        <w:spacing w:beforeLines="75" w:afterLines="75" w:line="360" w:lineRule="auto"/>
        <w:ind w:firstLine="562"/>
        <w:jc w:val="center"/>
        <w:rPr>
          <w:rFonts w:ascii="Times New Roman" w:hAnsi="Times New Roman"/>
          <w:b/>
          <w:color w:val="auto"/>
          <w:sz w:val="28"/>
          <w:szCs w:val="28"/>
        </w:rPr>
      </w:pPr>
      <w:r>
        <w:rPr>
          <w:rFonts w:ascii="Times New Roman" w:hAnsi="宋体"/>
          <w:b/>
          <w:color w:val="auto"/>
          <w:sz w:val="28"/>
          <w:szCs w:val="28"/>
        </w:rPr>
        <w:t>第</w:t>
      </w:r>
      <w:r>
        <w:rPr>
          <w:rFonts w:hint="eastAsia" w:ascii="Times New Roman" w:hAnsi="宋体"/>
          <w:b/>
          <w:color w:val="auto"/>
          <w:sz w:val="28"/>
          <w:szCs w:val="28"/>
        </w:rPr>
        <w:t>七</w:t>
      </w:r>
      <w:r>
        <w:rPr>
          <w:rFonts w:ascii="Times New Roman" w:hAnsi="宋体"/>
          <w:b/>
          <w:color w:val="auto"/>
          <w:sz w:val="28"/>
          <w:szCs w:val="28"/>
        </w:rPr>
        <w:t>章</w:t>
      </w:r>
      <w:r>
        <w:rPr>
          <w:rFonts w:ascii="Times New Roman" w:hAnsi="Times New Roman"/>
          <w:b/>
          <w:color w:val="auto"/>
          <w:sz w:val="28"/>
          <w:szCs w:val="28"/>
        </w:rPr>
        <w:t xml:space="preserve">  </w:t>
      </w:r>
      <w:r>
        <w:rPr>
          <w:rFonts w:ascii="Times New Roman" w:hAnsi="宋体"/>
          <w:b/>
          <w:color w:val="auto"/>
          <w:sz w:val="28"/>
          <w:szCs w:val="28"/>
        </w:rPr>
        <w:t>附则</w:t>
      </w:r>
    </w:p>
    <w:p>
      <w:pPr>
        <w:spacing w:beforeLines="75" w:afterLines="75" w:line="360" w:lineRule="auto"/>
        <w:ind w:firstLine="482" w:firstLineChars="200"/>
        <w:rPr>
          <w:color w:val="auto"/>
          <w:sz w:val="24"/>
        </w:rPr>
      </w:pPr>
      <w:r>
        <w:rPr>
          <w:rFonts w:hAnsi="宋体"/>
          <w:b/>
          <w:color w:val="auto"/>
          <w:sz w:val="24"/>
        </w:rPr>
        <w:t>第三十</w:t>
      </w:r>
      <w:r>
        <w:rPr>
          <w:rFonts w:hint="eastAsia" w:hAnsi="宋体"/>
          <w:b/>
          <w:color w:val="auto"/>
          <w:sz w:val="24"/>
        </w:rPr>
        <w:t>五</w:t>
      </w:r>
      <w:r>
        <w:rPr>
          <w:rFonts w:hAnsi="宋体"/>
          <w:b/>
          <w:color w:val="auto"/>
          <w:sz w:val="24"/>
        </w:rPr>
        <w:t>条</w:t>
      </w:r>
      <w:r>
        <w:rPr>
          <w:b/>
          <w:color w:val="auto"/>
          <w:sz w:val="24"/>
        </w:rPr>
        <w:t xml:space="preserve"> </w:t>
      </w:r>
      <w:r>
        <w:rPr>
          <w:rFonts w:hint="eastAsia"/>
          <w:b/>
          <w:color w:val="auto"/>
          <w:sz w:val="24"/>
        </w:rPr>
        <w:t xml:space="preserve"> </w:t>
      </w:r>
      <w:r>
        <w:rPr>
          <w:rFonts w:hAnsi="宋体"/>
          <w:color w:val="auto"/>
          <w:sz w:val="24"/>
        </w:rPr>
        <w:t>医院伦理委员会有对本章程进行解释和修改的权利。</w:t>
      </w:r>
    </w:p>
    <w:p>
      <w:pPr>
        <w:spacing w:beforeLines="75" w:afterLines="75" w:line="360" w:lineRule="auto"/>
        <w:ind w:firstLine="482" w:firstLineChars="200"/>
        <w:rPr>
          <w:rFonts w:hAnsi="宋体"/>
          <w:color w:val="auto"/>
          <w:sz w:val="24"/>
        </w:rPr>
      </w:pPr>
      <w:r>
        <w:rPr>
          <w:rFonts w:hAnsi="宋体"/>
          <w:b/>
          <w:color w:val="auto"/>
          <w:sz w:val="24"/>
        </w:rPr>
        <w:t>第三十</w:t>
      </w:r>
      <w:r>
        <w:rPr>
          <w:rFonts w:hint="eastAsia" w:hAnsi="宋体"/>
          <w:b/>
          <w:color w:val="auto"/>
          <w:sz w:val="24"/>
        </w:rPr>
        <w:t>六</w:t>
      </w:r>
      <w:r>
        <w:rPr>
          <w:rFonts w:hAnsi="宋体"/>
          <w:b/>
          <w:color w:val="auto"/>
          <w:sz w:val="24"/>
        </w:rPr>
        <w:t>条</w:t>
      </w:r>
      <w:r>
        <w:rPr>
          <w:color w:val="auto"/>
          <w:sz w:val="24"/>
        </w:rPr>
        <w:t xml:space="preserve"> </w:t>
      </w:r>
      <w:r>
        <w:rPr>
          <w:rFonts w:hint="eastAsia"/>
          <w:color w:val="auto"/>
          <w:sz w:val="24"/>
        </w:rPr>
        <w:t xml:space="preserve"> </w:t>
      </w:r>
      <w:r>
        <w:rPr>
          <w:rFonts w:hAnsi="宋体"/>
          <w:color w:val="auto"/>
          <w:sz w:val="24"/>
        </w:rPr>
        <w:t>本章程经</w:t>
      </w:r>
      <w:r>
        <w:rPr>
          <w:color w:val="auto"/>
          <w:sz w:val="24"/>
        </w:rPr>
        <w:t>自贡市中医</w:t>
      </w:r>
      <w:r>
        <w:rPr>
          <w:rFonts w:hAnsi="宋体"/>
          <w:color w:val="auto"/>
          <w:sz w:val="24"/>
        </w:rPr>
        <w:t>医院临床试验伦理委员会于</w:t>
      </w:r>
      <w:r>
        <w:rPr>
          <w:rFonts w:hint="eastAsia"/>
          <w:color w:val="auto"/>
          <w:sz w:val="24"/>
        </w:rPr>
        <w:t>2022</w:t>
      </w:r>
      <w:r>
        <w:rPr>
          <w:color w:val="auto"/>
          <w:sz w:val="24"/>
        </w:rPr>
        <w:t>年</w:t>
      </w:r>
      <w:r>
        <w:rPr>
          <w:rFonts w:hint="eastAsia"/>
          <w:color w:val="auto"/>
          <w:sz w:val="24"/>
          <w:lang w:val="en-US" w:eastAsia="zh-CN"/>
        </w:rPr>
        <w:t>5</w:t>
      </w:r>
      <w:r>
        <w:rPr>
          <w:color w:val="auto"/>
          <w:sz w:val="24"/>
        </w:rPr>
        <w:t>月</w:t>
      </w:r>
      <w:r>
        <w:rPr>
          <w:rFonts w:hAnsi="宋体"/>
          <w:color w:val="auto"/>
          <w:sz w:val="24"/>
        </w:rPr>
        <w:t>会议讨论通过并生效。</w:t>
      </w:r>
    </w:p>
    <w:p>
      <w:pPr>
        <w:spacing w:line="360" w:lineRule="auto"/>
        <w:rPr>
          <w:b/>
          <w:color w:val="auto"/>
          <w:sz w:val="24"/>
        </w:rPr>
      </w:pPr>
    </w:p>
    <w:p>
      <w:pPr>
        <w:spacing w:line="300" w:lineRule="auto"/>
        <w:ind w:firstLine="562" w:firstLineChars="200"/>
        <w:rPr>
          <w:b/>
          <w:color w:val="auto"/>
          <w:sz w:val="28"/>
          <w:szCs w:val="28"/>
        </w:rPr>
      </w:pPr>
      <w:r>
        <w:rPr>
          <w:rFonts w:hAnsi="宋体"/>
          <w:b/>
          <w:color w:val="auto"/>
          <w:sz w:val="28"/>
          <w:szCs w:val="28"/>
        </w:rPr>
        <w:t>附件：</w:t>
      </w:r>
    </w:p>
    <w:p>
      <w:pPr>
        <w:pStyle w:val="13"/>
        <w:numPr>
          <w:ilvl w:val="0"/>
          <w:numId w:val="2"/>
        </w:numPr>
        <w:spacing w:line="300" w:lineRule="auto"/>
        <w:ind w:left="0" w:firstLine="480"/>
        <w:rPr>
          <w:rFonts w:ascii="Times New Roman" w:hAnsi="Times New Roman" w:cs="Times New Roman"/>
          <w:color w:val="auto"/>
          <w:sz w:val="24"/>
          <w:szCs w:val="24"/>
        </w:rPr>
      </w:pPr>
      <w:r>
        <w:rPr>
          <w:rFonts w:ascii="Times New Roman" w:hAnsi="Times New Roman" w:cs="Times New Roman"/>
          <w:color w:val="auto"/>
          <w:sz w:val="24"/>
          <w:szCs w:val="24"/>
        </w:rPr>
        <w:t>ZGZEC-A-F01伦理委员会委员声明</w:t>
      </w:r>
    </w:p>
    <w:p>
      <w:pPr>
        <w:pStyle w:val="13"/>
        <w:numPr>
          <w:ilvl w:val="0"/>
          <w:numId w:val="2"/>
        </w:numPr>
        <w:spacing w:line="300" w:lineRule="auto"/>
        <w:ind w:left="0" w:firstLine="480"/>
        <w:rPr>
          <w:rFonts w:ascii="Times New Roman" w:hAnsi="Times New Roman" w:cs="Times New Roman"/>
          <w:color w:val="auto"/>
          <w:sz w:val="24"/>
          <w:szCs w:val="24"/>
        </w:rPr>
      </w:pPr>
      <w:r>
        <w:rPr>
          <w:rFonts w:ascii="Times New Roman" w:hAnsi="Times New Roman" w:cs="Times New Roman"/>
          <w:color w:val="auto"/>
          <w:sz w:val="24"/>
          <w:szCs w:val="24"/>
        </w:rPr>
        <w:t>ZGZEC-A-F02伦理委员会独立顾问声明</w:t>
      </w:r>
    </w:p>
    <w:p>
      <w:pPr>
        <w:pStyle w:val="13"/>
        <w:numPr>
          <w:ilvl w:val="0"/>
          <w:numId w:val="2"/>
        </w:numPr>
        <w:spacing w:line="300" w:lineRule="auto"/>
        <w:ind w:left="0" w:firstLine="480"/>
        <w:rPr>
          <w:rFonts w:ascii="Times New Roman" w:hAnsi="Times New Roman" w:cs="Times New Roman"/>
          <w:color w:val="auto"/>
          <w:sz w:val="24"/>
          <w:szCs w:val="24"/>
        </w:rPr>
      </w:pPr>
      <w:r>
        <w:rPr>
          <w:rFonts w:ascii="Times New Roman" w:hAnsi="Times New Roman" w:cs="Times New Roman"/>
          <w:color w:val="auto"/>
          <w:sz w:val="24"/>
          <w:szCs w:val="24"/>
        </w:rPr>
        <w:t>ZGZEC-A-F03伦理委员会保密协议</w:t>
      </w:r>
    </w:p>
    <w:p>
      <w:pPr>
        <w:pStyle w:val="13"/>
        <w:numPr>
          <w:ilvl w:val="0"/>
          <w:numId w:val="2"/>
        </w:numPr>
        <w:spacing w:line="300" w:lineRule="auto"/>
        <w:ind w:left="0" w:firstLine="480"/>
        <w:rPr>
          <w:color w:val="auto"/>
          <w:sz w:val="24"/>
        </w:rPr>
      </w:pPr>
      <w:r>
        <w:rPr>
          <w:rFonts w:ascii="Times New Roman" w:hAnsi="Times New Roman" w:cs="Times New Roman"/>
          <w:color w:val="auto"/>
          <w:sz w:val="24"/>
          <w:szCs w:val="24"/>
        </w:rPr>
        <w:t>ZGZEC-A-F04伦理委员会利益冲突声明</w:t>
      </w:r>
    </w:p>
    <w:sectPr>
      <w:headerReference r:id="rId4" w:type="first"/>
      <w:footerReference r:id="rId6" w:type="first"/>
      <w:headerReference r:id="rId3" w:type="default"/>
      <w:footerReference r:id="rId5" w:type="default"/>
      <w:pgSz w:w="11906" w:h="16838"/>
      <w:pgMar w:top="2098" w:right="1361" w:bottom="1627" w:left="1531" w:header="851" w:footer="992" w:gutter="0"/>
      <w:pgNumType w:start="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525094"/>
    </w:sdtPr>
    <w:sdtEndPr>
      <w:rPr>
        <w:sz w:val="18"/>
        <w:szCs w:val="18"/>
      </w:rPr>
    </w:sdtEndPr>
    <w:sdtContent>
      <w:p>
        <w:pPr>
          <w:rPr>
            <w:sz w:val="18"/>
            <w:szCs w:val="18"/>
          </w:rPr>
        </w:pPr>
        <w:r>
          <w:rPr>
            <w:rFonts w:hint="eastAsia" w:ascii="楷体" w:hAnsi="楷体" w:eastAsia="楷体"/>
            <w:sz w:val="18"/>
            <w:szCs w:val="18"/>
          </w:rPr>
          <w:t>版本号：</w:t>
        </w:r>
        <w:r>
          <w:rPr>
            <w:rFonts w:hint="eastAsia" w:eastAsia="楷体"/>
            <w:sz w:val="18"/>
            <w:szCs w:val="18"/>
            <w:lang w:eastAsia="zh-CN"/>
          </w:rPr>
          <w:t>V2.0</w:t>
        </w:r>
      </w:p>
      <w:p>
        <w:pPr>
          <w:pStyle w:val="3"/>
          <w:tabs>
            <w:tab w:val="left" w:pos="626"/>
            <w:tab w:val="right" w:pos="8852"/>
          </w:tabs>
        </w:pPr>
        <w:r>
          <w:rPr>
            <w:rFonts w:hint="eastAsia" w:ascii="楷体" w:hAnsi="楷体" w:eastAsia="楷体"/>
          </w:rPr>
          <w:t>管理制度</w:t>
        </w:r>
        <w:r>
          <w:rPr>
            <w:rFonts w:eastAsia="楷体_GB2312"/>
          </w:rPr>
          <w:t>/Management system</w:t>
        </w:r>
        <w:r>
          <w:rPr>
            <w:rFonts w:hint="eastAsia" w:eastAsia="楷体_GB2312"/>
          </w:rPr>
          <w:t xml:space="preserve">                             </w:t>
        </w:r>
        <w:r>
          <w:rPr>
            <w:rFonts w:hint="eastAsia"/>
          </w:rPr>
          <w:tab/>
        </w:r>
        <w:r>
          <w:rPr>
            <w:rFonts w:hint="eastAsia"/>
          </w:rPr>
          <w:t xml:space="preserve">            </w:t>
        </w:r>
        <w:r>
          <w:rPr>
            <w:rFonts w:hint="eastAsia" w:ascii="宋体" w:hAnsi="宋体"/>
          </w:rPr>
          <w:t>第</w:t>
        </w:r>
        <w:r>
          <w:fldChar w:fldCharType="begin"/>
        </w:r>
        <w:r>
          <w:instrText xml:space="preserve">PAGE   \* MERGEFORMAT</w:instrText>
        </w:r>
        <w:r>
          <w:fldChar w:fldCharType="separate"/>
        </w:r>
        <w:r>
          <w:rPr>
            <w:lang w:val="zh-CN"/>
          </w:rPr>
          <w:t>5</w:t>
        </w:r>
        <w:r>
          <w:fldChar w:fldCharType="end"/>
        </w:r>
        <w:r>
          <w:rPr>
            <w:rFonts w:hint="eastAsia" w:ascii="宋体" w:hAnsi="宋体"/>
          </w:rPr>
          <w:t>页 共</w:t>
        </w:r>
        <w:r>
          <w:rPr>
            <w:rFonts w:hint="eastAsia" w:ascii="宋体" w:hAnsi="宋体"/>
            <w:lang w:val="en-US" w:eastAsia="zh-CN"/>
          </w:rPr>
          <w:t>6</w:t>
        </w:r>
        <w:r>
          <w:rPr>
            <w:rFonts w:hint="eastAsia" w:ascii="宋体" w:hAnsi="宋体"/>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楷体" w:hAnsi="楷体" w:eastAsia="楷体"/>
      </w:rPr>
      <w:t>管理制度</w:t>
    </w:r>
    <w:r>
      <w:rPr>
        <w:rFonts w:eastAsia="楷体_GB2312"/>
      </w:rPr>
      <w:t>/Management system</w: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宋体" w:hAnsi="宋体"/>
        <w:b/>
        <w:bCs/>
        <w:sz w:val="24"/>
      </w:rPr>
      <w:drawing>
        <wp:anchor distT="0" distB="0" distL="114300" distR="114300" simplePos="0" relativeHeight="251659264" behindDoc="0" locked="0" layoutInCell="1" allowOverlap="1">
          <wp:simplePos x="0" y="0"/>
          <wp:positionH relativeFrom="column">
            <wp:posOffset>4535805</wp:posOffset>
          </wp:positionH>
          <wp:positionV relativeFrom="paragraph">
            <wp:posOffset>-330835</wp:posOffset>
          </wp:positionV>
          <wp:extent cx="1011555" cy="683895"/>
          <wp:effectExtent l="0" t="0" r="0" b="0"/>
          <wp:wrapSquare wrapText="bothSides"/>
          <wp:docPr id="1" name="图片 1" descr="C:\Users\Tigermed\Desktop\自贡文件\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igermed\Desktop\自贡文件\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11600" cy="684000"/>
                  </a:xfrm>
                  <a:prstGeom prst="rect">
                    <a:avLst/>
                  </a:prstGeom>
                  <a:noFill/>
                  <a:ln>
                    <a:noFill/>
                  </a:ln>
                </pic:spPr>
              </pic:pic>
            </a:graphicData>
          </a:graphic>
        </wp:anchor>
      </w:drawing>
    </w:r>
    <w:r>
      <w:rPr>
        <w:rFonts w:hint="eastAsia"/>
      </w:rPr>
      <w:t>ZGZEC</w:t>
    </w:r>
    <w:r>
      <w:t>-A-001</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hAnsi="宋体"/>
        <w:b/>
        <w:bCs/>
        <w:sz w:val="24"/>
      </w:rPr>
      <w:drawing>
        <wp:inline distT="0" distB="0" distL="0" distR="0">
          <wp:extent cx="1011555" cy="683260"/>
          <wp:effectExtent l="0" t="0" r="0" b="0"/>
          <wp:docPr id="2" name="图片 2" descr="C:\Users\Tigermed\Desktop\自贡文件\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igermed\Desktop\自贡文件\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73043" cy="725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B003C"/>
    <w:multiLevelType w:val="multilevel"/>
    <w:tmpl w:val="087B003C"/>
    <w:lvl w:ilvl="0" w:tentative="0">
      <w:start w:val="1"/>
      <w:numFmt w:val="japaneseCounting"/>
      <w:lvlText w:val="第%1章"/>
      <w:lvlJc w:val="left"/>
      <w:pPr>
        <w:ind w:left="4320" w:hanging="720"/>
      </w:pPr>
      <w:rPr>
        <w:rFonts w:hint="default" w:cs="Times New Roman"/>
      </w:rPr>
    </w:lvl>
    <w:lvl w:ilvl="1" w:tentative="0">
      <w:start w:val="1"/>
      <w:numFmt w:val="lowerLetter"/>
      <w:lvlText w:val="%2)"/>
      <w:lvlJc w:val="left"/>
      <w:pPr>
        <w:ind w:left="4320" w:hanging="420"/>
      </w:pPr>
      <w:rPr>
        <w:rFonts w:cs="Times New Roman"/>
      </w:rPr>
    </w:lvl>
    <w:lvl w:ilvl="2" w:tentative="0">
      <w:start w:val="1"/>
      <w:numFmt w:val="lowerRoman"/>
      <w:lvlText w:val="%3."/>
      <w:lvlJc w:val="right"/>
      <w:pPr>
        <w:ind w:left="4740" w:hanging="420"/>
      </w:pPr>
      <w:rPr>
        <w:rFonts w:cs="Times New Roman"/>
      </w:rPr>
    </w:lvl>
    <w:lvl w:ilvl="3" w:tentative="0">
      <w:start w:val="1"/>
      <w:numFmt w:val="decimal"/>
      <w:lvlText w:val="%4."/>
      <w:lvlJc w:val="left"/>
      <w:pPr>
        <w:ind w:left="5160" w:hanging="420"/>
      </w:pPr>
      <w:rPr>
        <w:rFonts w:cs="Times New Roman"/>
      </w:rPr>
    </w:lvl>
    <w:lvl w:ilvl="4" w:tentative="0">
      <w:start w:val="1"/>
      <w:numFmt w:val="lowerLetter"/>
      <w:lvlText w:val="%5)"/>
      <w:lvlJc w:val="left"/>
      <w:pPr>
        <w:ind w:left="5580" w:hanging="420"/>
      </w:pPr>
      <w:rPr>
        <w:rFonts w:cs="Times New Roman"/>
      </w:rPr>
    </w:lvl>
    <w:lvl w:ilvl="5" w:tentative="0">
      <w:start w:val="1"/>
      <w:numFmt w:val="lowerRoman"/>
      <w:lvlText w:val="%6."/>
      <w:lvlJc w:val="right"/>
      <w:pPr>
        <w:ind w:left="6000" w:hanging="420"/>
      </w:pPr>
      <w:rPr>
        <w:rFonts w:cs="Times New Roman"/>
      </w:rPr>
    </w:lvl>
    <w:lvl w:ilvl="6" w:tentative="0">
      <w:start w:val="1"/>
      <w:numFmt w:val="decimal"/>
      <w:lvlText w:val="%7."/>
      <w:lvlJc w:val="left"/>
      <w:pPr>
        <w:ind w:left="6420" w:hanging="420"/>
      </w:pPr>
      <w:rPr>
        <w:rFonts w:cs="Times New Roman"/>
      </w:rPr>
    </w:lvl>
    <w:lvl w:ilvl="7" w:tentative="0">
      <w:start w:val="1"/>
      <w:numFmt w:val="lowerLetter"/>
      <w:lvlText w:val="%8)"/>
      <w:lvlJc w:val="left"/>
      <w:pPr>
        <w:ind w:left="6840" w:hanging="420"/>
      </w:pPr>
      <w:rPr>
        <w:rFonts w:cs="Times New Roman"/>
      </w:rPr>
    </w:lvl>
    <w:lvl w:ilvl="8" w:tentative="0">
      <w:start w:val="1"/>
      <w:numFmt w:val="lowerRoman"/>
      <w:lvlText w:val="%9."/>
      <w:lvlJc w:val="right"/>
      <w:pPr>
        <w:ind w:left="7260" w:hanging="420"/>
      </w:pPr>
      <w:rPr>
        <w:rFonts w:cs="Times New Roman"/>
      </w:rPr>
    </w:lvl>
  </w:abstractNum>
  <w:abstractNum w:abstractNumId="1">
    <w:nsid w:val="3EDB1ED5"/>
    <w:multiLevelType w:val="multilevel"/>
    <w:tmpl w:val="3EDB1ED5"/>
    <w:lvl w:ilvl="0" w:tentative="0">
      <w:start w:val="1"/>
      <w:numFmt w:val="bullet"/>
      <w:lvlText w:val=""/>
      <w:lvlJc w:val="left"/>
      <w:pPr>
        <w:ind w:left="914" w:hanging="420"/>
      </w:pPr>
      <w:rPr>
        <w:rFonts w:hint="default" w:ascii="Wingdings" w:hAnsi="Wingdings"/>
      </w:rPr>
    </w:lvl>
    <w:lvl w:ilvl="1" w:tentative="0">
      <w:start w:val="1"/>
      <w:numFmt w:val="bullet"/>
      <w:lvlText w:val=""/>
      <w:lvlJc w:val="left"/>
      <w:pPr>
        <w:ind w:left="1334" w:hanging="420"/>
      </w:pPr>
      <w:rPr>
        <w:rFonts w:hint="default" w:ascii="Wingdings" w:hAnsi="Wingdings"/>
      </w:rPr>
    </w:lvl>
    <w:lvl w:ilvl="2" w:tentative="0">
      <w:start w:val="1"/>
      <w:numFmt w:val="bullet"/>
      <w:lvlText w:val=""/>
      <w:lvlJc w:val="left"/>
      <w:pPr>
        <w:ind w:left="1754" w:hanging="420"/>
      </w:pPr>
      <w:rPr>
        <w:rFonts w:hint="default" w:ascii="Wingdings" w:hAnsi="Wingdings"/>
      </w:rPr>
    </w:lvl>
    <w:lvl w:ilvl="3" w:tentative="0">
      <w:start w:val="1"/>
      <w:numFmt w:val="bullet"/>
      <w:lvlText w:val=""/>
      <w:lvlJc w:val="left"/>
      <w:pPr>
        <w:ind w:left="2174" w:hanging="420"/>
      </w:pPr>
      <w:rPr>
        <w:rFonts w:hint="default" w:ascii="Wingdings" w:hAnsi="Wingdings"/>
      </w:rPr>
    </w:lvl>
    <w:lvl w:ilvl="4" w:tentative="0">
      <w:start w:val="1"/>
      <w:numFmt w:val="bullet"/>
      <w:lvlText w:val=""/>
      <w:lvlJc w:val="left"/>
      <w:pPr>
        <w:ind w:left="2594" w:hanging="420"/>
      </w:pPr>
      <w:rPr>
        <w:rFonts w:hint="default" w:ascii="Wingdings" w:hAnsi="Wingdings"/>
      </w:rPr>
    </w:lvl>
    <w:lvl w:ilvl="5" w:tentative="0">
      <w:start w:val="1"/>
      <w:numFmt w:val="bullet"/>
      <w:lvlText w:val=""/>
      <w:lvlJc w:val="left"/>
      <w:pPr>
        <w:ind w:left="3014" w:hanging="420"/>
      </w:pPr>
      <w:rPr>
        <w:rFonts w:hint="default" w:ascii="Wingdings" w:hAnsi="Wingdings"/>
      </w:rPr>
    </w:lvl>
    <w:lvl w:ilvl="6" w:tentative="0">
      <w:start w:val="1"/>
      <w:numFmt w:val="bullet"/>
      <w:lvlText w:val=""/>
      <w:lvlJc w:val="left"/>
      <w:pPr>
        <w:ind w:left="3434" w:hanging="420"/>
      </w:pPr>
      <w:rPr>
        <w:rFonts w:hint="default" w:ascii="Wingdings" w:hAnsi="Wingdings"/>
      </w:rPr>
    </w:lvl>
    <w:lvl w:ilvl="7" w:tentative="0">
      <w:start w:val="1"/>
      <w:numFmt w:val="bullet"/>
      <w:lvlText w:val=""/>
      <w:lvlJc w:val="left"/>
      <w:pPr>
        <w:ind w:left="3854" w:hanging="420"/>
      </w:pPr>
      <w:rPr>
        <w:rFonts w:hint="default" w:ascii="Wingdings" w:hAnsi="Wingdings"/>
      </w:rPr>
    </w:lvl>
    <w:lvl w:ilvl="8" w:tentative="0">
      <w:start w:val="1"/>
      <w:numFmt w:val="bullet"/>
      <w:lvlText w:val=""/>
      <w:lvlJc w:val="left"/>
      <w:pPr>
        <w:ind w:left="4274"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2NWE1YTg5YjJmYzFjMTcxMjkzNDc4YWE2NGU2NGYifQ=="/>
  </w:docVars>
  <w:rsids>
    <w:rsidRoot w:val="00457FBB"/>
    <w:rsid w:val="0000467A"/>
    <w:rsid w:val="00005B61"/>
    <w:rsid w:val="00006F92"/>
    <w:rsid w:val="0000703B"/>
    <w:rsid w:val="00011A12"/>
    <w:rsid w:val="00012781"/>
    <w:rsid w:val="00021DF4"/>
    <w:rsid w:val="00026D7A"/>
    <w:rsid w:val="00037E22"/>
    <w:rsid w:val="0004618A"/>
    <w:rsid w:val="000635CC"/>
    <w:rsid w:val="0006360C"/>
    <w:rsid w:val="0006491B"/>
    <w:rsid w:val="00071269"/>
    <w:rsid w:val="00072ED7"/>
    <w:rsid w:val="00075707"/>
    <w:rsid w:val="0008041C"/>
    <w:rsid w:val="00082A4D"/>
    <w:rsid w:val="000868C1"/>
    <w:rsid w:val="000870F9"/>
    <w:rsid w:val="00090B3F"/>
    <w:rsid w:val="00092E2E"/>
    <w:rsid w:val="00093E04"/>
    <w:rsid w:val="00095A6D"/>
    <w:rsid w:val="00097291"/>
    <w:rsid w:val="000A1D2D"/>
    <w:rsid w:val="000B1A5A"/>
    <w:rsid w:val="000C1BB2"/>
    <w:rsid w:val="000C54BD"/>
    <w:rsid w:val="000C5B21"/>
    <w:rsid w:val="000D59D3"/>
    <w:rsid w:val="000E1826"/>
    <w:rsid w:val="000E46E4"/>
    <w:rsid w:val="000E7573"/>
    <w:rsid w:val="000F1957"/>
    <w:rsid w:val="000F20B4"/>
    <w:rsid w:val="000F356D"/>
    <w:rsid w:val="000F4A84"/>
    <w:rsid w:val="000F6451"/>
    <w:rsid w:val="000F6B46"/>
    <w:rsid w:val="000F7D2A"/>
    <w:rsid w:val="0011428F"/>
    <w:rsid w:val="001153D9"/>
    <w:rsid w:val="0012220C"/>
    <w:rsid w:val="00131290"/>
    <w:rsid w:val="0013318E"/>
    <w:rsid w:val="00145897"/>
    <w:rsid w:val="00147D78"/>
    <w:rsid w:val="00153E88"/>
    <w:rsid w:val="0015445D"/>
    <w:rsid w:val="00160264"/>
    <w:rsid w:val="00162B35"/>
    <w:rsid w:val="00163BE4"/>
    <w:rsid w:val="00164F60"/>
    <w:rsid w:val="00166BA8"/>
    <w:rsid w:val="00170B7E"/>
    <w:rsid w:val="00174889"/>
    <w:rsid w:val="0017511D"/>
    <w:rsid w:val="0017516E"/>
    <w:rsid w:val="00181ABC"/>
    <w:rsid w:val="001834D9"/>
    <w:rsid w:val="00185240"/>
    <w:rsid w:val="00185B73"/>
    <w:rsid w:val="00194517"/>
    <w:rsid w:val="00195A23"/>
    <w:rsid w:val="00197C9D"/>
    <w:rsid w:val="00197CBA"/>
    <w:rsid w:val="00197FF8"/>
    <w:rsid w:val="001A4A9A"/>
    <w:rsid w:val="001B2428"/>
    <w:rsid w:val="001D1D7A"/>
    <w:rsid w:val="001D2139"/>
    <w:rsid w:val="001E794A"/>
    <w:rsid w:val="001F30F8"/>
    <w:rsid w:val="001F71E1"/>
    <w:rsid w:val="0020008A"/>
    <w:rsid w:val="0020182F"/>
    <w:rsid w:val="00202A7C"/>
    <w:rsid w:val="00203D1D"/>
    <w:rsid w:val="00203D83"/>
    <w:rsid w:val="00214A6D"/>
    <w:rsid w:val="00216212"/>
    <w:rsid w:val="00216D1C"/>
    <w:rsid w:val="00223F87"/>
    <w:rsid w:val="002278E0"/>
    <w:rsid w:val="00231190"/>
    <w:rsid w:val="002322C0"/>
    <w:rsid w:val="00235EE6"/>
    <w:rsid w:val="0023696F"/>
    <w:rsid w:val="002406B4"/>
    <w:rsid w:val="00253DD2"/>
    <w:rsid w:val="0025415A"/>
    <w:rsid w:val="00257F45"/>
    <w:rsid w:val="00261207"/>
    <w:rsid w:val="00261787"/>
    <w:rsid w:val="002643C0"/>
    <w:rsid w:val="0027048B"/>
    <w:rsid w:val="00270790"/>
    <w:rsid w:val="00275260"/>
    <w:rsid w:val="00280390"/>
    <w:rsid w:val="00281B80"/>
    <w:rsid w:val="00282DC3"/>
    <w:rsid w:val="00284433"/>
    <w:rsid w:val="002858A9"/>
    <w:rsid w:val="00290C17"/>
    <w:rsid w:val="00291CA8"/>
    <w:rsid w:val="00294BFF"/>
    <w:rsid w:val="002A22BC"/>
    <w:rsid w:val="002A5233"/>
    <w:rsid w:val="002B2E3C"/>
    <w:rsid w:val="002B390B"/>
    <w:rsid w:val="002B5927"/>
    <w:rsid w:val="002B6365"/>
    <w:rsid w:val="002C40E8"/>
    <w:rsid w:val="002C4A11"/>
    <w:rsid w:val="002C5AD0"/>
    <w:rsid w:val="002C765E"/>
    <w:rsid w:val="002D3FC7"/>
    <w:rsid w:val="002D4E2B"/>
    <w:rsid w:val="002D52A3"/>
    <w:rsid w:val="002E2221"/>
    <w:rsid w:val="002E34A0"/>
    <w:rsid w:val="002E36B0"/>
    <w:rsid w:val="002E510F"/>
    <w:rsid w:val="002E54FF"/>
    <w:rsid w:val="002E6AA0"/>
    <w:rsid w:val="002F0005"/>
    <w:rsid w:val="002F53A0"/>
    <w:rsid w:val="002F55DA"/>
    <w:rsid w:val="00300460"/>
    <w:rsid w:val="00301A70"/>
    <w:rsid w:val="003039FB"/>
    <w:rsid w:val="00312245"/>
    <w:rsid w:val="0031742B"/>
    <w:rsid w:val="00317734"/>
    <w:rsid w:val="00317AF4"/>
    <w:rsid w:val="00321C3B"/>
    <w:rsid w:val="00324AFB"/>
    <w:rsid w:val="00324EB8"/>
    <w:rsid w:val="00330C29"/>
    <w:rsid w:val="00331260"/>
    <w:rsid w:val="003340E9"/>
    <w:rsid w:val="0033431E"/>
    <w:rsid w:val="00335A51"/>
    <w:rsid w:val="0034031C"/>
    <w:rsid w:val="00344237"/>
    <w:rsid w:val="003467FC"/>
    <w:rsid w:val="0034752F"/>
    <w:rsid w:val="00347EB7"/>
    <w:rsid w:val="00355F85"/>
    <w:rsid w:val="00356C63"/>
    <w:rsid w:val="003605BD"/>
    <w:rsid w:val="0036095D"/>
    <w:rsid w:val="00365781"/>
    <w:rsid w:val="00371913"/>
    <w:rsid w:val="00377577"/>
    <w:rsid w:val="00377902"/>
    <w:rsid w:val="00380222"/>
    <w:rsid w:val="0038095B"/>
    <w:rsid w:val="003826AE"/>
    <w:rsid w:val="00383B5E"/>
    <w:rsid w:val="00385376"/>
    <w:rsid w:val="00385D4C"/>
    <w:rsid w:val="003A0016"/>
    <w:rsid w:val="003B2662"/>
    <w:rsid w:val="003C148C"/>
    <w:rsid w:val="003C22A2"/>
    <w:rsid w:val="003C24AB"/>
    <w:rsid w:val="003C3D1B"/>
    <w:rsid w:val="003C43DC"/>
    <w:rsid w:val="003C4837"/>
    <w:rsid w:val="003D3B79"/>
    <w:rsid w:val="003D5E71"/>
    <w:rsid w:val="003E0769"/>
    <w:rsid w:val="003E6BA3"/>
    <w:rsid w:val="003F0AA8"/>
    <w:rsid w:val="003F0C43"/>
    <w:rsid w:val="00402A0B"/>
    <w:rsid w:val="00406A4A"/>
    <w:rsid w:val="00406BFE"/>
    <w:rsid w:val="00407BAD"/>
    <w:rsid w:val="0041486D"/>
    <w:rsid w:val="00414CA2"/>
    <w:rsid w:val="00416C94"/>
    <w:rsid w:val="00421C01"/>
    <w:rsid w:val="004266BF"/>
    <w:rsid w:val="00433C06"/>
    <w:rsid w:val="00443BE2"/>
    <w:rsid w:val="0044491A"/>
    <w:rsid w:val="004449CC"/>
    <w:rsid w:val="00446F5A"/>
    <w:rsid w:val="00451328"/>
    <w:rsid w:val="0045506A"/>
    <w:rsid w:val="00457FBB"/>
    <w:rsid w:val="00460BA1"/>
    <w:rsid w:val="004703A1"/>
    <w:rsid w:val="004715A9"/>
    <w:rsid w:val="00471667"/>
    <w:rsid w:val="00480C4D"/>
    <w:rsid w:val="0048466A"/>
    <w:rsid w:val="00486443"/>
    <w:rsid w:val="0049068A"/>
    <w:rsid w:val="00492A4C"/>
    <w:rsid w:val="00493B89"/>
    <w:rsid w:val="00493DC5"/>
    <w:rsid w:val="004A102B"/>
    <w:rsid w:val="004A10A1"/>
    <w:rsid w:val="004A38D0"/>
    <w:rsid w:val="004A6B38"/>
    <w:rsid w:val="004B0007"/>
    <w:rsid w:val="004B0D30"/>
    <w:rsid w:val="004B2B0F"/>
    <w:rsid w:val="004B2D84"/>
    <w:rsid w:val="004B2E20"/>
    <w:rsid w:val="004B45FD"/>
    <w:rsid w:val="004C0068"/>
    <w:rsid w:val="004C2B31"/>
    <w:rsid w:val="004C2B6D"/>
    <w:rsid w:val="004C3997"/>
    <w:rsid w:val="004C6F54"/>
    <w:rsid w:val="004D6276"/>
    <w:rsid w:val="004E35A5"/>
    <w:rsid w:val="004F1792"/>
    <w:rsid w:val="004F32BF"/>
    <w:rsid w:val="0050310A"/>
    <w:rsid w:val="00505998"/>
    <w:rsid w:val="0050624B"/>
    <w:rsid w:val="00512534"/>
    <w:rsid w:val="00512C2D"/>
    <w:rsid w:val="00520B5D"/>
    <w:rsid w:val="00523E93"/>
    <w:rsid w:val="0052470B"/>
    <w:rsid w:val="00533DA5"/>
    <w:rsid w:val="00534E63"/>
    <w:rsid w:val="00537E88"/>
    <w:rsid w:val="00540A61"/>
    <w:rsid w:val="00541982"/>
    <w:rsid w:val="005419C1"/>
    <w:rsid w:val="00542B1D"/>
    <w:rsid w:val="00543372"/>
    <w:rsid w:val="005437FF"/>
    <w:rsid w:val="0054417F"/>
    <w:rsid w:val="0054501F"/>
    <w:rsid w:val="005501DE"/>
    <w:rsid w:val="00560522"/>
    <w:rsid w:val="00564C1D"/>
    <w:rsid w:val="0056534B"/>
    <w:rsid w:val="00565452"/>
    <w:rsid w:val="0057166C"/>
    <w:rsid w:val="005746B6"/>
    <w:rsid w:val="0057651B"/>
    <w:rsid w:val="005771C8"/>
    <w:rsid w:val="0058159B"/>
    <w:rsid w:val="005831A4"/>
    <w:rsid w:val="00583310"/>
    <w:rsid w:val="00584106"/>
    <w:rsid w:val="00585E96"/>
    <w:rsid w:val="00586861"/>
    <w:rsid w:val="00594EC4"/>
    <w:rsid w:val="005A18EC"/>
    <w:rsid w:val="005A289D"/>
    <w:rsid w:val="005A4634"/>
    <w:rsid w:val="005B4ACD"/>
    <w:rsid w:val="005B736B"/>
    <w:rsid w:val="005C7A32"/>
    <w:rsid w:val="005D293E"/>
    <w:rsid w:val="005D3BDD"/>
    <w:rsid w:val="005D5BB3"/>
    <w:rsid w:val="005E6679"/>
    <w:rsid w:val="00602722"/>
    <w:rsid w:val="00604833"/>
    <w:rsid w:val="0060713F"/>
    <w:rsid w:val="00607BB4"/>
    <w:rsid w:val="006117F2"/>
    <w:rsid w:val="00611EA0"/>
    <w:rsid w:val="00614411"/>
    <w:rsid w:val="00614810"/>
    <w:rsid w:val="00615898"/>
    <w:rsid w:val="00620E62"/>
    <w:rsid w:val="00622AC1"/>
    <w:rsid w:val="00630B0A"/>
    <w:rsid w:val="00631781"/>
    <w:rsid w:val="00632942"/>
    <w:rsid w:val="006403E3"/>
    <w:rsid w:val="00645CE6"/>
    <w:rsid w:val="006544A8"/>
    <w:rsid w:val="006557A0"/>
    <w:rsid w:val="0066046A"/>
    <w:rsid w:val="0066606F"/>
    <w:rsid w:val="00670590"/>
    <w:rsid w:val="006746ED"/>
    <w:rsid w:val="00682D10"/>
    <w:rsid w:val="00683C2C"/>
    <w:rsid w:val="00685B2A"/>
    <w:rsid w:val="006A0141"/>
    <w:rsid w:val="006A09EC"/>
    <w:rsid w:val="006B1160"/>
    <w:rsid w:val="006B6AF6"/>
    <w:rsid w:val="006C06F6"/>
    <w:rsid w:val="006C1C65"/>
    <w:rsid w:val="006C539B"/>
    <w:rsid w:val="006C588D"/>
    <w:rsid w:val="006C5FE6"/>
    <w:rsid w:val="006C74AC"/>
    <w:rsid w:val="006D7D6B"/>
    <w:rsid w:val="006E0466"/>
    <w:rsid w:val="006E0A41"/>
    <w:rsid w:val="006F0C1C"/>
    <w:rsid w:val="006F1D11"/>
    <w:rsid w:val="006F7ED4"/>
    <w:rsid w:val="00701D5C"/>
    <w:rsid w:val="0071099C"/>
    <w:rsid w:val="00710B08"/>
    <w:rsid w:val="0071402C"/>
    <w:rsid w:val="00715A8E"/>
    <w:rsid w:val="00721A3B"/>
    <w:rsid w:val="00724416"/>
    <w:rsid w:val="007264A0"/>
    <w:rsid w:val="00727E6C"/>
    <w:rsid w:val="0073345E"/>
    <w:rsid w:val="007351C4"/>
    <w:rsid w:val="007371CC"/>
    <w:rsid w:val="007426F2"/>
    <w:rsid w:val="0074368A"/>
    <w:rsid w:val="00744FBB"/>
    <w:rsid w:val="007470A9"/>
    <w:rsid w:val="007478E2"/>
    <w:rsid w:val="0075639B"/>
    <w:rsid w:val="0075758F"/>
    <w:rsid w:val="00760EBD"/>
    <w:rsid w:val="00764401"/>
    <w:rsid w:val="007712B1"/>
    <w:rsid w:val="007737FF"/>
    <w:rsid w:val="00791D8E"/>
    <w:rsid w:val="00793263"/>
    <w:rsid w:val="00794277"/>
    <w:rsid w:val="007A67E4"/>
    <w:rsid w:val="007A7065"/>
    <w:rsid w:val="007B19F7"/>
    <w:rsid w:val="007B4C65"/>
    <w:rsid w:val="007C3DAA"/>
    <w:rsid w:val="007C442F"/>
    <w:rsid w:val="007C466F"/>
    <w:rsid w:val="007C5C50"/>
    <w:rsid w:val="007D38B7"/>
    <w:rsid w:val="007E1649"/>
    <w:rsid w:val="007E2159"/>
    <w:rsid w:val="00805380"/>
    <w:rsid w:val="008060A3"/>
    <w:rsid w:val="00806441"/>
    <w:rsid w:val="008108B9"/>
    <w:rsid w:val="00812EF2"/>
    <w:rsid w:val="008135CC"/>
    <w:rsid w:val="008164AE"/>
    <w:rsid w:val="00822849"/>
    <w:rsid w:val="008239A3"/>
    <w:rsid w:val="00824D26"/>
    <w:rsid w:val="0083018D"/>
    <w:rsid w:val="0083118B"/>
    <w:rsid w:val="0083799D"/>
    <w:rsid w:val="008379F1"/>
    <w:rsid w:val="00837B8A"/>
    <w:rsid w:val="00855E6E"/>
    <w:rsid w:val="00863982"/>
    <w:rsid w:val="00864681"/>
    <w:rsid w:val="00865EB0"/>
    <w:rsid w:val="00871983"/>
    <w:rsid w:val="008810E6"/>
    <w:rsid w:val="0088224C"/>
    <w:rsid w:val="008847A4"/>
    <w:rsid w:val="0089397F"/>
    <w:rsid w:val="00893E3F"/>
    <w:rsid w:val="00894E7D"/>
    <w:rsid w:val="00896330"/>
    <w:rsid w:val="00897B72"/>
    <w:rsid w:val="008A3150"/>
    <w:rsid w:val="008A410E"/>
    <w:rsid w:val="008A5EF2"/>
    <w:rsid w:val="008B2A01"/>
    <w:rsid w:val="008B3348"/>
    <w:rsid w:val="008C700A"/>
    <w:rsid w:val="008D0DFE"/>
    <w:rsid w:val="008D12F9"/>
    <w:rsid w:val="008D3851"/>
    <w:rsid w:val="008E28B4"/>
    <w:rsid w:val="008E4ED7"/>
    <w:rsid w:val="008E69BB"/>
    <w:rsid w:val="008F7E1B"/>
    <w:rsid w:val="00900431"/>
    <w:rsid w:val="00902D98"/>
    <w:rsid w:val="00905F72"/>
    <w:rsid w:val="00906E25"/>
    <w:rsid w:val="00907012"/>
    <w:rsid w:val="00910816"/>
    <w:rsid w:val="00911044"/>
    <w:rsid w:val="00913CE4"/>
    <w:rsid w:val="00915627"/>
    <w:rsid w:val="00921C4F"/>
    <w:rsid w:val="00923337"/>
    <w:rsid w:val="009259FF"/>
    <w:rsid w:val="00925AE1"/>
    <w:rsid w:val="00931973"/>
    <w:rsid w:val="00932406"/>
    <w:rsid w:val="00933008"/>
    <w:rsid w:val="00940C8E"/>
    <w:rsid w:val="00941AD5"/>
    <w:rsid w:val="00942A0F"/>
    <w:rsid w:val="0094553B"/>
    <w:rsid w:val="00947381"/>
    <w:rsid w:val="00960159"/>
    <w:rsid w:val="00963866"/>
    <w:rsid w:val="00967AD7"/>
    <w:rsid w:val="00984632"/>
    <w:rsid w:val="00987068"/>
    <w:rsid w:val="00987643"/>
    <w:rsid w:val="00997F59"/>
    <w:rsid w:val="00997FA4"/>
    <w:rsid w:val="009A2EAD"/>
    <w:rsid w:val="009B41AD"/>
    <w:rsid w:val="009C11F6"/>
    <w:rsid w:val="009C193E"/>
    <w:rsid w:val="009C37D2"/>
    <w:rsid w:val="009C4D4D"/>
    <w:rsid w:val="009C6134"/>
    <w:rsid w:val="009D1B76"/>
    <w:rsid w:val="009E03DA"/>
    <w:rsid w:val="009E1757"/>
    <w:rsid w:val="009E3292"/>
    <w:rsid w:val="009E3F3E"/>
    <w:rsid w:val="009F02EA"/>
    <w:rsid w:val="009F2393"/>
    <w:rsid w:val="009F514D"/>
    <w:rsid w:val="00A00FA2"/>
    <w:rsid w:val="00A04447"/>
    <w:rsid w:val="00A06DC3"/>
    <w:rsid w:val="00A1000F"/>
    <w:rsid w:val="00A10D77"/>
    <w:rsid w:val="00A1271C"/>
    <w:rsid w:val="00A13725"/>
    <w:rsid w:val="00A21DCB"/>
    <w:rsid w:val="00A2470B"/>
    <w:rsid w:val="00A24C33"/>
    <w:rsid w:val="00A33364"/>
    <w:rsid w:val="00A4314F"/>
    <w:rsid w:val="00A4645B"/>
    <w:rsid w:val="00A46EE1"/>
    <w:rsid w:val="00A50FFE"/>
    <w:rsid w:val="00A550A4"/>
    <w:rsid w:val="00A6075D"/>
    <w:rsid w:val="00A636DB"/>
    <w:rsid w:val="00A63CEA"/>
    <w:rsid w:val="00A65A19"/>
    <w:rsid w:val="00A75B4A"/>
    <w:rsid w:val="00A80493"/>
    <w:rsid w:val="00A80CC3"/>
    <w:rsid w:val="00A91614"/>
    <w:rsid w:val="00A927A6"/>
    <w:rsid w:val="00AA14ED"/>
    <w:rsid w:val="00AA2131"/>
    <w:rsid w:val="00AA424A"/>
    <w:rsid w:val="00AB488C"/>
    <w:rsid w:val="00AB6E5F"/>
    <w:rsid w:val="00AC01B6"/>
    <w:rsid w:val="00AC18EA"/>
    <w:rsid w:val="00AC3B6B"/>
    <w:rsid w:val="00AD5ED6"/>
    <w:rsid w:val="00AE1278"/>
    <w:rsid w:val="00AE1442"/>
    <w:rsid w:val="00AE19A6"/>
    <w:rsid w:val="00AE357A"/>
    <w:rsid w:val="00AE3C81"/>
    <w:rsid w:val="00AF386F"/>
    <w:rsid w:val="00AF3C09"/>
    <w:rsid w:val="00AF4487"/>
    <w:rsid w:val="00AF6E63"/>
    <w:rsid w:val="00AF76A5"/>
    <w:rsid w:val="00B0409D"/>
    <w:rsid w:val="00B04BD1"/>
    <w:rsid w:val="00B07967"/>
    <w:rsid w:val="00B117EC"/>
    <w:rsid w:val="00B12381"/>
    <w:rsid w:val="00B12DAF"/>
    <w:rsid w:val="00B25DCC"/>
    <w:rsid w:val="00B25ECA"/>
    <w:rsid w:val="00B315A7"/>
    <w:rsid w:val="00B41C45"/>
    <w:rsid w:val="00B563CE"/>
    <w:rsid w:val="00B65D1C"/>
    <w:rsid w:val="00B72D68"/>
    <w:rsid w:val="00B776BA"/>
    <w:rsid w:val="00B83BEA"/>
    <w:rsid w:val="00B90DAE"/>
    <w:rsid w:val="00B9133D"/>
    <w:rsid w:val="00B932DD"/>
    <w:rsid w:val="00B93735"/>
    <w:rsid w:val="00BA1ABF"/>
    <w:rsid w:val="00BA2CE4"/>
    <w:rsid w:val="00BA2FAC"/>
    <w:rsid w:val="00BA5AC1"/>
    <w:rsid w:val="00BA780B"/>
    <w:rsid w:val="00BB4DD3"/>
    <w:rsid w:val="00BB5A47"/>
    <w:rsid w:val="00BB7103"/>
    <w:rsid w:val="00BC44BC"/>
    <w:rsid w:val="00BC4A9B"/>
    <w:rsid w:val="00BD270C"/>
    <w:rsid w:val="00BD6042"/>
    <w:rsid w:val="00BD6705"/>
    <w:rsid w:val="00BE100E"/>
    <w:rsid w:val="00BE24FA"/>
    <w:rsid w:val="00BF182F"/>
    <w:rsid w:val="00BF19BA"/>
    <w:rsid w:val="00BF2B68"/>
    <w:rsid w:val="00BF485A"/>
    <w:rsid w:val="00BF5979"/>
    <w:rsid w:val="00C022B9"/>
    <w:rsid w:val="00C028C9"/>
    <w:rsid w:val="00C03752"/>
    <w:rsid w:val="00C049F2"/>
    <w:rsid w:val="00C05CB2"/>
    <w:rsid w:val="00C12A3A"/>
    <w:rsid w:val="00C209FB"/>
    <w:rsid w:val="00C212E5"/>
    <w:rsid w:val="00C213DC"/>
    <w:rsid w:val="00C21572"/>
    <w:rsid w:val="00C232AB"/>
    <w:rsid w:val="00C2495B"/>
    <w:rsid w:val="00C24BD6"/>
    <w:rsid w:val="00C273D9"/>
    <w:rsid w:val="00C27C32"/>
    <w:rsid w:val="00C30B3C"/>
    <w:rsid w:val="00C326A9"/>
    <w:rsid w:val="00C349A5"/>
    <w:rsid w:val="00C40936"/>
    <w:rsid w:val="00C41A8B"/>
    <w:rsid w:val="00C430C4"/>
    <w:rsid w:val="00C433A3"/>
    <w:rsid w:val="00C43F19"/>
    <w:rsid w:val="00C456BD"/>
    <w:rsid w:val="00C463C0"/>
    <w:rsid w:val="00C5249C"/>
    <w:rsid w:val="00C55111"/>
    <w:rsid w:val="00C631EE"/>
    <w:rsid w:val="00C636AC"/>
    <w:rsid w:val="00C63F50"/>
    <w:rsid w:val="00C64BEC"/>
    <w:rsid w:val="00C67577"/>
    <w:rsid w:val="00C70ED3"/>
    <w:rsid w:val="00C7351A"/>
    <w:rsid w:val="00C73C12"/>
    <w:rsid w:val="00C8351F"/>
    <w:rsid w:val="00C9755C"/>
    <w:rsid w:val="00CA09F8"/>
    <w:rsid w:val="00CA0FD5"/>
    <w:rsid w:val="00CA60F4"/>
    <w:rsid w:val="00CA6B22"/>
    <w:rsid w:val="00CB4C28"/>
    <w:rsid w:val="00CC0D8D"/>
    <w:rsid w:val="00CC6AA6"/>
    <w:rsid w:val="00CC6AC8"/>
    <w:rsid w:val="00CC7438"/>
    <w:rsid w:val="00CD193A"/>
    <w:rsid w:val="00CD5C13"/>
    <w:rsid w:val="00CD71FB"/>
    <w:rsid w:val="00CE64BE"/>
    <w:rsid w:val="00CE6781"/>
    <w:rsid w:val="00CF0897"/>
    <w:rsid w:val="00CF158C"/>
    <w:rsid w:val="00CF16C9"/>
    <w:rsid w:val="00CF5D54"/>
    <w:rsid w:val="00D03355"/>
    <w:rsid w:val="00D11ED6"/>
    <w:rsid w:val="00D14432"/>
    <w:rsid w:val="00D15A96"/>
    <w:rsid w:val="00D1655F"/>
    <w:rsid w:val="00D171CF"/>
    <w:rsid w:val="00D23463"/>
    <w:rsid w:val="00D304A5"/>
    <w:rsid w:val="00D34EA5"/>
    <w:rsid w:val="00D36533"/>
    <w:rsid w:val="00D406AE"/>
    <w:rsid w:val="00D47D98"/>
    <w:rsid w:val="00D5088F"/>
    <w:rsid w:val="00D51814"/>
    <w:rsid w:val="00D55ED3"/>
    <w:rsid w:val="00D61F4E"/>
    <w:rsid w:val="00D62BD0"/>
    <w:rsid w:val="00D64735"/>
    <w:rsid w:val="00D750AA"/>
    <w:rsid w:val="00D812D9"/>
    <w:rsid w:val="00D82FD2"/>
    <w:rsid w:val="00D85E7A"/>
    <w:rsid w:val="00D9469B"/>
    <w:rsid w:val="00D95F99"/>
    <w:rsid w:val="00D96807"/>
    <w:rsid w:val="00D968E1"/>
    <w:rsid w:val="00D96FF9"/>
    <w:rsid w:val="00DA1B52"/>
    <w:rsid w:val="00DA1DF8"/>
    <w:rsid w:val="00DA22F6"/>
    <w:rsid w:val="00DA5BF2"/>
    <w:rsid w:val="00DA7A36"/>
    <w:rsid w:val="00DB0463"/>
    <w:rsid w:val="00DB5CCA"/>
    <w:rsid w:val="00DB736B"/>
    <w:rsid w:val="00DC3ABA"/>
    <w:rsid w:val="00DC412D"/>
    <w:rsid w:val="00DC71AB"/>
    <w:rsid w:val="00DD482F"/>
    <w:rsid w:val="00DD7A8F"/>
    <w:rsid w:val="00DE21E2"/>
    <w:rsid w:val="00DE3B5A"/>
    <w:rsid w:val="00DE4F3B"/>
    <w:rsid w:val="00DF5EC8"/>
    <w:rsid w:val="00E033FD"/>
    <w:rsid w:val="00E114B2"/>
    <w:rsid w:val="00E15017"/>
    <w:rsid w:val="00E17034"/>
    <w:rsid w:val="00E174C6"/>
    <w:rsid w:val="00E212A0"/>
    <w:rsid w:val="00E216B0"/>
    <w:rsid w:val="00E2209B"/>
    <w:rsid w:val="00E2317F"/>
    <w:rsid w:val="00E26224"/>
    <w:rsid w:val="00E27A8B"/>
    <w:rsid w:val="00E27C3C"/>
    <w:rsid w:val="00E31D77"/>
    <w:rsid w:val="00E34F79"/>
    <w:rsid w:val="00E364BF"/>
    <w:rsid w:val="00E36F39"/>
    <w:rsid w:val="00E411E4"/>
    <w:rsid w:val="00E453C5"/>
    <w:rsid w:val="00E47C69"/>
    <w:rsid w:val="00E5442B"/>
    <w:rsid w:val="00E544D6"/>
    <w:rsid w:val="00E5731E"/>
    <w:rsid w:val="00E577B7"/>
    <w:rsid w:val="00E61A67"/>
    <w:rsid w:val="00E621F4"/>
    <w:rsid w:val="00E64AB2"/>
    <w:rsid w:val="00E66BDB"/>
    <w:rsid w:val="00E70F61"/>
    <w:rsid w:val="00E722B0"/>
    <w:rsid w:val="00E767E6"/>
    <w:rsid w:val="00E76B67"/>
    <w:rsid w:val="00E856FA"/>
    <w:rsid w:val="00E86551"/>
    <w:rsid w:val="00E867A9"/>
    <w:rsid w:val="00E902F4"/>
    <w:rsid w:val="00E90BFA"/>
    <w:rsid w:val="00E92B23"/>
    <w:rsid w:val="00E9326C"/>
    <w:rsid w:val="00E96656"/>
    <w:rsid w:val="00EA00C8"/>
    <w:rsid w:val="00EA5948"/>
    <w:rsid w:val="00EB4D4F"/>
    <w:rsid w:val="00EB5F75"/>
    <w:rsid w:val="00EB7286"/>
    <w:rsid w:val="00EC07A4"/>
    <w:rsid w:val="00EC1332"/>
    <w:rsid w:val="00EC60BF"/>
    <w:rsid w:val="00EC641D"/>
    <w:rsid w:val="00ED2308"/>
    <w:rsid w:val="00ED2832"/>
    <w:rsid w:val="00ED2E96"/>
    <w:rsid w:val="00EE3DEB"/>
    <w:rsid w:val="00EF3B67"/>
    <w:rsid w:val="00EF5B0D"/>
    <w:rsid w:val="00F004C4"/>
    <w:rsid w:val="00F038BA"/>
    <w:rsid w:val="00F0397D"/>
    <w:rsid w:val="00F047C2"/>
    <w:rsid w:val="00F12042"/>
    <w:rsid w:val="00F16581"/>
    <w:rsid w:val="00F20150"/>
    <w:rsid w:val="00F21F0F"/>
    <w:rsid w:val="00F263D8"/>
    <w:rsid w:val="00F309CC"/>
    <w:rsid w:val="00F30A2D"/>
    <w:rsid w:val="00F3266D"/>
    <w:rsid w:val="00F35A1B"/>
    <w:rsid w:val="00F378CD"/>
    <w:rsid w:val="00F4357B"/>
    <w:rsid w:val="00F52898"/>
    <w:rsid w:val="00F52CD3"/>
    <w:rsid w:val="00F54858"/>
    <w:rsid w:val="00F56A10"/>
    <w:rsid w:val="00F61D17"/>
    <w:rsid w:val="00F704E4"/>
    <w:rsid w:val="00F75951"/>
    <w:rsid w:val="00F778B1"/>
    <w:rsid w:val="00F81C6D"/>
    <w:rsid w:val="00F85927"/>
    <w:rsid w:val="00F9124E"/>
    <w:rsid w:val="00F94768"/>
    <w:rsid w:val="00F96747"/>
    <w:rsid w:val="00FA02D4"/>
    <w:rsid w:val="00FA4BFF"/>
    <w:rsid w:val="00FB352E"/>
    <w:rsid w:val="00FB4975"/>
    <w:rsid w:val="00FB5C18"/>
    <w:rsid w:val="00FC3D49"/>
    <w:rsid w:val="00FC44F9"/>
    <w:rsid w:val="00FC52C4"/>
    <w:rsid w:val="00FC695E"/>
    <w:rsid w:val="00FD2F39"/>
    <w:rsid w:val="00FE0123"/>
    <w:rsid w:val="00FE319B"/>
    <w:rsid w:val="00FE43C0"/>
    <w:rsid w:val="00FE44C7"/>
    <w:rsid w:val="00FE6485"/>
    <w:rsid w:val="00FE6973"/>
    <w:rsid w:val="00FF1363"/>
    <w:rsid w:val="010966EC"/>
    <w:rsid w:val="036038FE"/>
    <w:rsid w:val="03EB2B02"/>
    <w:rsid w:val="09F64CB9"/>
    <w:rsid w:val="0A2168F9"/>
    <w:rsid w:val="0A4F67A6"/>
    <w:rsid w:val="0AA3400C"/>
    <w:rsid w:val="0C2B61A9"/>
    <w:rsid w:val="0C8722A4"/>
    <w:rsid w:val="128436F6"/>
    <w:rsid w:val="13AD65A1"/>
    <w:rsid w:val="16DB419C"/>
    <w:rsid w:val="1B5664D1"/>
    <w:rsid w:val="25762DC8"/>
    <w:rsid w:val="280D2579"/>
    <w:rsid w:val="28182C43"/>
    <w:rsid w:val="28441293"/>
    <w:rsid w:val="2887355E"/>
    <w:rsid w:val="28A86C1B"/>
    <w:rsid w:val="29DD3E19"/>
    <w:rsid w:val="2BFB1405"/>
    <w:rsid w:val="2C3D0FB1"/>
    <w:rsid w:val="2F3D12DC"/>
    <w:rsid w:val="32AF0001"/>
    <w:rsid w:val="335A57C4"/>
    <w:rsid w:val="34DA2353"/>
    <w:rsid w:val="39421CC1"/>
    <w:rsid w:val="3D96184D"/>
    <w:rsid w:val="3EC8274E"/>
    <w:rsid w:val="41257BCC"/>
    <w:rsid w:val="46143DE2"/>
    <w:rsid w:val="475141B8"/>
    <w:rsid w:val="49160800"/>
    <w:rsid w:val="4B014D43"/>
    <w:rsid w:val="53787CDC"/>
    <w:rsid w:val="56AA0EF3"/>
    <w:rsid w:val="5D484041"/>
    <w:rsid w:val="5D5516E4"/>
    <w:rsid w:val="5F2C05AE"/>
    <w:rsid w:val="64AA11A2"/>
    <w:rsid w:val="66673AA0"/>
    <w:rsid w:val="66DD09C3"/>
    <w:rsid w:val="69640E2F"/>
    <w:rsid w:val="696C0051"/>
    <w:rsid w:val="6BE33D9B"/>
    <w:rsid w:val="6D4F1933"/>
    <w:rsid w:val="6D971E61"/>
    <w:rsid w:val="6EFA143A"/>
    <w:rsid w:val="720440EB"/>
    <w:rsid w:val="75C90C53"/>
    <w:rsid w:val="768271F0"/>
    <w:rsid w:val="789B4619"/>
    <w:rsid w:val="7CB2559E"/>
    <w:rsid w:val="7DEC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tabs>
        <w:tab w:val="left" w:pos="368"/>
        <w:tab w:val="right" w:leader="dot" w:pos="8493"/>
      </w:tabs>
      <w:spacing w:line="360" w:lineRule="auto"/>
    </w:pPr>
    <w:rPr>
      <w:sz w:val="2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4">
    <w:name w:val="页脚 Char"/>
    <w:basedOn w:val="9"/>
    <w:link w:val="3"/>
    <w:qFormat/>
    <w:uiPriority w:val="99"/>
    <w:rPr>
      <w:rFonts w:ascii="Times New Roman" w:hAnsi="Times New Roman" w:eastAsia="宋体" w:cs="Times New Roman"/>
      <w:sz w:val="18"/>
      <w:szCs w:val="18"/>
    </w:rPr>
  </w:style>
  <w:style w:type="character" w:customStyle="1" w:styleId="15">
    <w:name w:val="批注框文本 Char"/>
    <w:basedOn w:val="9"/>
    <w:link w:val="2"/>
    <w:semiHidden/>
    <w:qFormat/>
    <w:uiPriority w:val="99"/>
    <w:rPr>
      <w:rFonts w:ascii="Times New Roman" w:hAnsi="Times New Roman" w:eastAsia="宋体" w:cs="Times New Roman"/>
      <w:sz w:val="18"/>
      <w:szCs w:val="18"/>
    </w:rPr>
  </w:style>
  <w:style w:type="character" w:customStyle="1" w:styleId="16">
    <w:name w:val="页眉 Char"/>
    <w:basedOn w:val="9"/>
    <w:link w:val="4"/>
    <w:qFormat/>
    <w:uiPriority w:val="99"/>
    <w:rPr>
      <w:rFonts w:ascii="Times New Roman" w:hAnsi="Times New Roman" w:eastAsia="宋体" w:cs="Times New Roman"/>
      <w:sz w:val="18"/>
      <w:szCs w:val="18"/>
    </w:rPr>
  </w:style>
  <w:style w:type="paragraph" w:customStyle="1" w:styleId="17">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4179</Words>
  <Characters>4243</Characters>
  <Lines>25</Lines>
  <Paragraphs>7</Paragraphs>
  <TotalTime>0</TotalTime>
  <ScaleCrop>false</ScaleCrop>
  <LinksUpToDate>false</LinksUpToDate>
  <CharactersWithSpaces>4325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2015-01-28T02:00:00Z</dcterms:created>
  <dc:creator>yangli</dc:creator>
  <cp:lastModifiedBy>娇娇</cp:lastModifiedBy>
  <cp:lastPrinted>2022-06-19T09:42:05Z</cp:lastPrinted>
  <dcterms:modified xsi:type="dcterms:W3CDTF">2022-06-19T09:42:10Z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86BC9C607D584576A479F1C0222AE04B</vt:lpwstr>
  </property>
</Properties>
</file>